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3" w:type="pct"/>
        <w:tblLook w:val="04A0"/>
      </w:tblPr>
      <w:tblGrid>
        <w:gridCol w:w="492"/>
        <w:gridCol w:w="722"/>
        <w:gridCol w:w="722"/>
        <w:gridCol w:w="726"/>
        <w:gridCol w:w="1938"/>
        <w:gridCol w:w="236"/>
        <w:gridCol w:w="1569"/>
        <w:gridCol w:w="791"/>
        <w:gridCol w:w="369"/>
        <w:gridCol w:w="817"/>
        <w:gridCol w:w="1654"/>
      </w:tblGrid>
      <w:tr w:rsidR="00E577E7" w:rsidTr="00E577E7">
        <w:trPr>
          <w:trHeight w:val="870"/>
        </w:trPr>
        <w:tc>
          <w:tcPr>
            <w:tcW w:w="5000" w:type="pct"/>
            <w:gridSpan w:val="11"/>
            <w:vAlign w:val="bottom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Реестр  муниципальных  маршрутов регулярных перевозок Варгашинского муниципального округа Курганской области</w:t>
            </w:r>
          </w:p>
        </w:tc>
      </w:tr>
      <w:tr w:rsidR="00E577E7" w:rsidTr="00E577E7">
        <w:trPr>
          <w:gridAfter w:val="2"/>
          <w:wAfter w:w="1231" w:type="pct"/>
          <w:trHeight w:val="300"/>
        </w:trPr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577E7" w:rsidRDefault="00E577E7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577E7" w:rsidRDefault="00E577E7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577E7" w:rsidRDefault="00E577E7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577E7" w:rsidRDefault="00E577E7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577E7" w:rsidRDefault="00E577E7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577E7" w:rsidRDefault="00E577E7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577E7" w:rsidRDefault="00E577E7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577E7" w:rsidRDefault="00E577E7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E577E7" w:rsidTr="00E577E7">
        <w:trPr>
          <w:trHeight w:val="397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7E7" w:rsidRDefault="00E577E7">
            <w:pPr>
              <w:overflowPunct/>
              <w:autoSpaceDE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204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маршруте</w:t>
            </w:r>
          </w:p>
        </w:tc>
        <w:tc>
          <w:tcPr>
            <w:tcW w:w="27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Наименование  муниципальных маршрутов регулярных перевозок</w:t>
            </w:r>
          </w:p>
        </w:tc>
      </w:tr>
      <w:tr w:rsidR="00E577E7" w:rsidTr="00E577E7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Варгаши-Попово</w:t>
            </w:r>
            <w:proofErr w:type="spellEnd"/>
            <w:proofErr w:type="gramEnd"/>
          </w:p>
        </w:tc>
        <w:tc>
          <w:tcPr>
            <w:tcW w:w="1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Варгаши-Барашково</w:t>
            </w:r>
            <w:proofErr w:type="spellEnd"/>
          </w:p>
        </w:tc>
      </w:tr>
      <w:tr w:rsidR="00E577E7" w:rsidTr="00E577E7">
        <w:trPr>
          <w:trHeight w:val="76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Регистрационный номер маршрута регулярных перевозок в реестре Варгашинского муниципального округа Курганской области</w:t>
            </w:r>
          </w:p>
        </w:tc>
        <w:tc>
          <w:tcPr>
            <w:tcW w:w="1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577E7" w:rsidTr="00E577E7">
        <w:trPr>
          <w:trHeight w:val="491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Порядковый номер маршрута регулярных перевозок </w:t>
            </w:r>
          </w:p>
        </w:tc>
        <w:tc>
          <w:tcPr>
            <w:tcW w:w="1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</w:tr>
      <w:tr w:rsidR="00E577E7" w:rsidTr="00E577E7">
        <w:trPr>
          <w:trHeight w:val="541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маршрута регулярных перевозок</w:t>
            </w:r>
          </w:p>
        </w:tc>
        <w:tc>
          <w:tcPr>
            <w:tcW w:w="1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 р.п. Варгаши- 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опово</w:t>
            </w:r>
          </w:p>
        </w:tc>
        <w:tc>
          <w:tcPr>
            <w:tcW w:w="1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р.п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 xml:space="preserve">аргаши- с. </w:t>
            </w:r>
            <w:proofErr w:type="spellStart"/>
            <w:r>
              <w:rPr>
                <w:color w:val="000000"/>
              </w:rPr>
              <w:t>Барашково</w:t>
            </w:r>
            <w:proofErr w:type="spellEnd"/>
          </w:p>
        </w:tc>
      </w:tr>
      <w:tr w:rsidR="00E577E7" w:rsidTr="00E577E7">
        <w:trPr>
          <w:trHeight w:val="83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промежуточных остановочных пунктов по маршруту регулярных перевозок</w:t>
            </w:r>
          </w:p>
        </w:tc>
        <w:tc>
          <w:tcPr>
            <w:tcW w:w="1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Поворот д. </w:t>
            </w:r>
            <w:proofErr w:type="spellStart"/>
            <w:r>
              <w:rPr>
                <w:color w:val="000000"/>
              </w:rPr>
              <w:t>Кабанье,д</w:t>
            </w:r>
            <w:proofErr w:type="spellEnd"/>
            <w:r>
              <w:rPr>
                <w:color w:val="000000"/>
              </w:rPr>
              <w:t xml:space="preserve">. Щучье, ст. </w:t>
            </w:r>
            <w:proofErr w:type="spellStart"/>
            <w:r>
              <w:rPr>
                <w:color w:val="000000"/>
              </w:rPr>
              <w:t>Юрахлы</w:t>
            </w:r>
            <w:proofErr w:type="spellEnd"/>
            <w:r>
              <w:rPr>
                <w:color w:val="000000"/>
              </w:rPr>
              <w:t>, 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 xml:space="preserve">опово, </w:t>
            </w:r>
            <w:proofErr w:type="spellStart"/>
            <w:r>
              <w:rPr>
                <w:color w:val="000000"/>
              </w:rPr>
              <w:t>д.Моревское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Автозаправочная газовая станция, с. </w:t>
            </w:r>
            <w:proofErr w:type="spellStart"/>
            <w:r>
              <w:rPr>
                <w:color w:val="000000"/>
              </w:rPr>
              <w:t>Пичугино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E577E7" w:rsidTr="00E577E7">
        <w:trPr>
          <w:trHeight w:val="1269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улиц, автомобильных дорог, 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1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Социалистическая, ул. Колхозная, ул. </w:t>
            </w:r>
            <w:proofErr w:type="spellStart"/>
            <w:r>
              <w:rPr>
                <w:color w:val="000000"/>
              </w:rPr>
              <w:t>Гайдара,трасса</w:t>
            </w:r>
            <w:proofErr w:type="spellEnd"/>
            <w:r>
              <w:rPr>
                <w:color w:val="000000"/>
              </w:rPr>
              <w:t xml:space="preserve"> "Байкал", а/</w:t>
            </w: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 xml:space="preserve"> подъезд к ст. </w:t>
            </w:r>
            <w:proofErr w:type="spellStart"/>
            <w:r>
              <w:rPr>
                <w:color w:val="000000"/>
              </w:rPr>
              <w:t>Юрахлы</w:t>
            </w:r>
            <w:proofErr w:type="spellEnd"/>
            <w:r>
              <w:rPr>
                <w:color w:val="000000"/>
              </w:rPr>
              <w:t xml:space="preserve"> , а/</w:t>
            </w: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 xml:space="preserve"> подъезд к 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опово, а/</w:t>
            </w: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 xml:space="preserve"> подъезд к д. </w:t>
            </w:r>
            <w:proofErr w:type="spellStart"/>
            <w:r>
              <w:rPr>
                <w:color w:val="000000"/>
              </w:rPr>
              <w:t>Моревское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ул. Социалистическая, ул. Колхозная, ул. Гайдара, трасса "Иртыш", а/</w:t>
            </w: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 xml:space="preserve"> "Байкал</w:t>
            </w:r>
            <w:proofErr w:type="gramStart"/>
            <w:r>
              <w:rPr>
                <w:color w:val="000000"/>
              </w:rPr>
              <w:t>"-</w:t>
            </w:r>
            <w:proofErr w:type="spellStart"/>
            <w:proofErr w:type="gramEnd"/>
            <w:r>
              <w:rPr>
                <w:color w:val="000000"/>
              </w:rPr>
              <w:t>Пичугино-Барашково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E577E7" w:rsidTr="00E577E7">
        <w:trPr>
          <w:trHeight w:val="46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Протяженность маршрута регулярных перевозок</w:t>
            </w:r>
          </w:p>
        </w:tc>
        <w:tc>
          <w:tcPr>
            <w:tcW w:w="1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               40 км</w:t>
            </w:r>
          </w:p>
        </w:tc>
        <w:tc>
          <w:tcPr>
            <w:tcW w:w="1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16,5 км</w:t>
            </w:r>
          </w:p>
        </w:tc>
      </w:tr>
      <w:tr w:rsidR="00E577E7" w:rsidTr="00E577E7">
        <w:trPr>
          <w:trHeight w:val="76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Порядок посадки и высадки пассажиров</w:t>
            </w:r>
          </w:p>
        </w:tc>
        <w:tc>
          <w:tcPr>
            <w:tcW w:w="1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В установленных остановочных пунктах</w:t>
            </w:r>
          </w:p>
        </w:tc>
        <w:tc>
          <w:tcPr>
            <w:tcW w:w="1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В установленных остановочных пунктах</w:t>
            </w:r>
          </w:p>
        </w:tc>
      </w:tr>
      <w:tr w:rsidR="00E577E7" w:rsidTr="00E577E7">
        <w:trPr>
          <w:trHeight w:val="67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регулярных перевозок</w:t>
            </w:r>
          </w:p>
        </w:tc>
        <w:tc>
          <w:tcPr>
            <w:tcW w:w="1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Регулируемые перевозки по нерегулируемым тарифам</w:t>
            </w:r>
          </w:p>
        </w:tc>
        <w:tc>
          <w:tcPr>
            <w:tcW w:w="1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Регулируемые перевозки по нерегулируемым тарифам</w:t>
            </w:r>
          </w:p>
        </w:tc>
      </w:tr>
      <w:tr w:rsidR="00E577E7" w:rsidTr="00E577E7">
        <w:trPr>
          <w:trHeight w:val="360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4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Вид, класс, экологические характеристики 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1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автобус</w:t>
            </w:r>
          </w:p>
        </w:tc>
        <w:tc>
          <w:tcPr>
            <w:tcW w:w="1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автобус</w:t>
            </w:r>
          </w:p>
        </w:tc>
      </w:tr>
      <w:tr w:rsidR="00E577E7" w:rsidTr="00E577E7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малый</w:t>
            </w:r>
          </w:p>
        </w:tc>
        <w:tc>
          <w:tcPr>
            <w:tcW w:w="1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малый</w:t>
            </w:r>
          </w:p>
        </w:tc>
      </w:tr>
      <w:tr w:rsidR="00E577E7" w:rsidTr="00E577E7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третий</w:t>
            </w:r>
          </w:p>
        </w:tc>
        <w:tc>
          <w:tcPr>
            <w:tcW w:w="1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третий</w:t>
            </w:r>
          </w:p>
        </w:tc>
      </w:tr>
      <w:tr w:rsidR="00E577E7" w:rsidTr="00E577E7">
        <w:trPr>
          <w:trHeight w:val="549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Максимальное количество транспортных средств каждого класса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которое допускается использовать для перевозок по маршруту регулярных перевозок</w:t>
            </w:r>
          </w:p>
        </w:tc>
        <w:tc>
          <w:tcPr>
            <w:tcW w:w="1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577E7" w:rsidTr="00E577E7">
        <w:trPr>
          <w:trHeight w:val="56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Расписание движения автобуса</w:t>
            </w:r>
          </w:p>
        </w:tc>
        <w:tc>
          <w:tcPr>
            <w:tcW w:w="1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E577E7" w:rsidTr="00E577E7">
        <w:trPr>
          <w:trHeight w:val="56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Характеристики транспортных средств, влияющие на качество перевозок,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</w:t>
            </w:r>
          </w:p>
        </w:tc>
        <w:tc>
          <w:tcPr>
            <w:tcW w:w="1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Pr="009E335B" w:rsidRDefault="009E335B">
            <w:pPr>
              <w:overflowPunct/>
              <w:autoSpaceDE/>
              <w:autoSpaceDN/>
              <w:adjustRightInd/>
              <w:rPr>
                <w:rFonts w:eastAsiaTheme="minorEastAsia"/>
              </w:rPr>
            </w:pPr>
            <w:r w:rsidRPr="009E335B">
              <w:rPr>
                <w:rFonts w:eastAsiaTheme="minorEastAsia"/>
              </w:rPr>
              <w:t>Не предусмотрены</w:t>
            </w:r>
          </w:p>
        </w:tc>
        <w:tc>
          <w:tcPr>
            <w:tcW w:w="1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9E335B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9E335B">
              <w:rPr>
                <w:rFonts w:eastAsiaTheme="minorEastAsia"/>
              </w:rPr>
              <w:t>Не предусмотрены</w:t>
            </w:r>
          </w:p>
        </w:tc>
      </w:tr>
      <w:tr w:rsidR="00E577E7" w:rsidTr="00E577E7">
        <w:trPr>
          <w:trHeight w:val="56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Максимальный срок эксплуатации транспортных средств </w:t>
            </w:r>
          </w:p>
        </w:tc>
        <w:tc>
          <w:tcPr>
            <w:tcW w:w="1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9E335B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9E335B">
              <w:rPr>
                <w:rFonts w:eastAsiaTheme="minorEastAsia"/>
              </w:rPr>
              <w:t>Не предусмотрен</w:t>
            </w:r>
          </w:p>
        </w:tc>
        <w:tc>
          <w:tcPr>
            <w:tcW w:w="1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9E335B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9E335B">
              <w:rPr>
                <w:rFonts w:eastAsiaTheme="minorEastAsia"/>
              </w:rPr>
              <w:t xml:space="preserve">Не </w:t>
            </w:r>
            <w:r>
              <w:rPr>
                <w:rFonts w:eastAsiaTheme="minorEastAsia"/>
              </w:rPr>
              <w:t>предусмотрен</w:t>
            </w:r>
          </w:p>
        </w:tc>
      </w:tr>
      <w:tr w:rsidR="00E577E7" w:rsidTr="00E577E7">
        <w:trPr>
          <w:trHeight w:val="56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начала осуществления регулярных перевозок юридическим лицом, индивидуальным предпринимателем или участниками договора простого товарищества</w:t>
            </w:r>
          </w:p>
        </w:tc>
        <w:tc>
          <w:tcPr>
            <w:tcW w:w="1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E577E7" w:rsidTr="00E577E7">
        <w:trPr>
          <w:trHeight w:val="61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Наименование,  место нахождения (для юридического лица), государственный регистрационный номер записи о создании юридического лица, фамилия, имя и, если имеется отчество, место жительства (для индивидуального предпринимателя),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налогоплательщика, которому предоставлено право осуществления перевозок по маршруту регулярных перевозок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адрес электронной почты. Если право осуществления перевозок по маршруту регулярных перевозок предоставлено участникам договора простого товарищества, данные сведения указываются в отношении каждого участника договора простого товарищества. </w:t>
            </w:r>
          </w:p>
        </w:tc>
        <w:tc>
          <w:tcPr>
            <w:tcW w:w="1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E577E7" w:rsidTr="00E577E7">
        <w:trPr>
          <w:trHeight w:val="76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действия контракта или срок действия свидетельства об осуществлении перевозок по маршруту регулярных перевозок, если в соответствии с Федеральным законом оно выдано на ограниченный срок.</w:t>
            </w:r>
          </w:p>
        </w:tc>
        <w:tc>
          <w:tcPr>
            <w:tcW w:w="1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577E7" w:rsidTr="00E577E7">
        <w:trPr>
          <w:trHeight w:val="1046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333333"/>
              </w:rPr>
            </w:pPr>
            <w:r>
              <w:rPr>
                <w:color w:val="333333"/>
              </w:rPr>
              <w:t>17</w:t>
            </w: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</w:pPr>
            <w:r>
              <w:t>Даты вынесения решений об установлении, изменении или отмене маршрута регулярных перевозок, о заключении контракта либо предоставлении права осуществления регулярных перевозок по нерегулируемым тарифам и реквизиты таких решений.</w:t>
            </w:r>
          </w:p>
        </w:tc>
        <w:tc>
          <w:tcPr>
            <w:tcW w:w="1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 w:rsidR="00E577E7" w:rsidTr="00E577E7">
        <w:trPr>
          <w:trHeight w:val="1046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77E7" w:rsidRDefault="00E577E7">
            <w:pPr>
              <w:overflowPunct/>
              <w:autoSpaceDE/>
              <w:adjustRightInd/>
              <w:jc w:val="center"/>
              <w:rPr>
                <w:color w:val="333333"/>
              </w:rPr>
            </w:pPr>
            <w:r>
              <w:rPr>
                <w:color w:val="333333"/>
              </w:rPr>
              <w:t>18</w:t>
            </w: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77E7" w:rsidRDefault="00E577E7" w:rsidP="009E335B">
            <w:pPr>
              <w:overflowPunct/>
              <w:autoSpaceDE/>
              <w:adjustRightInd/>
              <w:jc w:val="center"/>
            </w:pPr>
            <w:r>
              <w:t>Иные сведения, предусмотренные законом субъекта Российской Федерации (в отношении межмуниципальных маршрутов регулярных перевозок и муниципальных маршрутов регулярных перевозок в границах данного субъекта Российской Федерации).</w:t>
            </w:r>
          </w:p>
        </w:tc>
        <w:tc>
          <w:tcPr>
            <w:tcW w:w="1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77E7" w:rsidRDefault="00082215" w:rsidP="00082215">
            <w:pPr>
              <w:overflowPunct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77E7" w:rsidRDefault="00082215" w:rsidP="00082215">
            <w:pPr>
              <w:overflowPunct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</w:tr>
      <w:tr w:rsidR="00E577E7" w:rsidTr="00E577E7">
        <w:trPr>
          <w:gridAfter w:val="1"/>
          <w:wAfter w:w="824" w:type="pct"/>
          <w:trHeight w:val="300"/>
        </w:trPr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577E7" w:rsidRDefault="00E577E7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577E7" w:rsidRDefault="00E577E7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577E7" w:rsidRDefault="00E577E7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577E7" w:rsidRDefault="00E577E7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577E7" w:rsidRDefault="00E577E7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577E7" w:rsidRDefault="00E577E7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577E7" w:rsidRDefault="00E577E7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577E7" w:rsidRDefault="00E577E7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E577E7" w:rsidRDefault="00E577E7" w:rsidP="00E577E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*Разрабатывается при проведении конкурса</w:t>
      </w:r>
    </w:p>
    <w:p w:rsidR="00DF04E4" w:rsidRDefault="00DF04E4"/>
    <w:sectPr w:rsidR="00DF04E4" w:rsidSect="00DF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7E7"/>
    <w:rsid w:val="00082215"/>
    <w:rsid w:val="002B08E9"/>
    <w:rsid w:val="003D463F"/>
    <w:rsid w:val="004B04FE"/>
    <w:rsid w:val="009E335B"/>
    <w:rsid w:val="00AC0A3B"/>
    <w:rsid w:val="00C52EB4"/>
    <w:rsid w:val="00D1173B"/>
    <w:rsid w:val="00DF04E4"/>
    <w:rsid w:val="00E577E7"/>
    <w:rsid w:val="00E6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E7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7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arhitektor3</dc:creator>
  <cp:keywords/>
  <dc:description/>
  <cp:lastModifiedBy>Пользователь</cp:lastModifiedBy>
  <cp:revision>3</cp:revision>
  <dcterms:created xsi:type="dcterms:W3CDTF">2024-10-16T13:31:00Z</dcterms:created>
  <dcterms:modified xsi:type="dcterms:W3CDTF">2024-10-17T07:47:00Z</dcterms:modified>
</cp:coreProperties>
</file>