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9571" w:h="337" w:hRule="exact" w:wrap="none" w:vAnchor="page" w:hAnchor="page" w:x="1584" w:y="1136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Отчет</w:t>
      </w:r>
    </w:p>
    <w:p>
      <w:pPr>
        <w:pStyle w:val="Style3"/>
        <w:framePr w:w="9571" w:h="3591" w:hRule="exact" w:wrap="none" w:vAnchor="page" w:hAnchor="page" w:x="1584" w:y="1635"/>
        <w:widowControl w:val="0"/>
        <w:keepNext w:val="0"/>
        <w:keepLines w:val="0"/>
        <w:shd w:val="clear" w:color="auto" w:fill="auto"/>
        <w:bidi w:val="0"/>
        <w:spacing w:before="0" w:after="0" w:line="3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 ходе реализации муниципальной программы Варгашинского района</w:t>
        <w:br/>
        <w:t>«Энергосбережение и повышение энергетической эффективности в</w:t>
        <w:br/>
        <w:t>бюджетной сфере и жилищно-коммунальном комплексе Варгашинского</w:t>
      </w:r>
    </w:p>
    <w:p>
      <w:pPr>
        <w:pStyle w:val="Style3"/>
        <w:framePr w:w="9571" w:h="3591" w:hRule="exact" w:wrap="none" w:vAnchor="page" w:hAnchor="page" w:x="1584" w:y="1635"/>
        <w:widowControl w:val="0"/>
        <w:keepNext w:val="0"/>
        <w:keepLines w:val="0"/>
        <w:shd w:val="clear" w:color="auto" w:fill="auto"/>
        <w:bidi w:val="0"/>
        <w:spacing w:before="0" w:after="120" w:line="3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района» за </w:t>
      </w:r>
      <w:r>
        <w:rPr>
          <w:rStyle w:val="CharStyle5"/>
          <w:b/>
          <w:bCs/>
        </w:rPr>
        <w:t>2018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год</w:t>
      </w:r>
    </w:p>
    <w:p>
      <w:pPr>
        <w:pStyle w:val="Style6"/>
        <w:framePr w:w="9571" w:h="3591" w:hRule="exact" w:wrap="none" w:vAnchor="page" w:hAnchor="page" w:x="1584" w:y="1635"/>
        <w:widowControl w:val="0"/>
        <w:keepNext w:val="0"/>
        <w:keepLines w:val="0"/>
        <w:shd w:val="clear" w:color="auto" w:fill="auto"/>
        <w:bidi w:val="0"/>
        <w:spacing w:before="0" w:after="0"/>
        <w:ind w:left="0" w:right="140" w:firstLine="8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Утверждена постановлением Администрации Варгашинского района от 9 июля 2010 года № 85 «Об утверждении муниципальной программы Варгашинского района «Энергосбережение и повышение энергетической эффективности в бюджетной сфере и жилищно-коммунальном комплексе Варгашинского района»</w:t>
      </w:r>
    </w:p>
    <w:tbl>
      <w:tblPr>
        <w:tblOverlap w:val="never"/>
        <w:tblLayout w:type="fixed"/>
        <w:jc w:val="left"/>
      </w:tblPr>
      <w:tblGrid>
        <w:gridCol w:w="1382"/>
        <w:gridCol w:w="8189"/>
      </w:tblGrid>
      <w:tr>
        <w:trPr>
          <w:trHeight w:val="15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rStyle w:val="CharStyle8"/>
              </w:rPr>
              <w:t>Цель</w:t>
            </w:r>
          </w:p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0" w:lineRule="exact"/>
              <w:ind w:left="0" w:right="0" w:firstLine="0"/>
            </w:pPr>
            <w:r>
              <w:rPr>
                <w:rStyle w:val="CharStyle8"/>
              </w:rPr>
              <w:t>программы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Сокращение энергоемкости не менее чем на 3 процента в год и создание на этой основе предпосылок для устойчивого развития экономики Варгашинского района и повышения ее конкурентоспособности, а также оптимизация бюджетных расходов на оплату потребления топливно</w:t>
              <w:softHyphen/>
              <w:t>энергетических ресурсов.</w:t>
            </w:r>
          </w:p>
        </w:tc>
      </w:tr>
      <w:tr>
        <w:trPr>
          <w:trHeight w:val="52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rStyle w:val="CharStyle8"/>
              </w:rPr>
              <w:t>Задачи</w:t>
            </w:r>
          </w:p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0" w:lineRule="exact"/>
              <w:ind w:left="0" w:right="0" w:firstLine="0"/>
            </w:pPr>
            <w:r>
              <w:rPr>
                <w:rStyle w:val="CharStyle8"/>
              </w:rPr>
              <w:t>программы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216" w:val="left"/>
              </w:tabs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стимулировать разработку и внедрение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 на основе использования научно</w:t>
              <w:softHyphen/>
              <w:t>производственного потенциала;</w:t>
            </w:r>
          </w:p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216" w:val="left"/>
              </w:tabs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снизить удельный расход топлива и выбросы продуктов сгорания при выработке тепловой и электрической энергии, в том числе за счет максимального использования вторичных топливных газов, внедрения современного оборудования с низкими удельными расходами энергоресурсов;</w:t>
            </w:r>
          </w:p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322" w:val="left"/>
              </w:tabs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сократить потери энергетических ресурсов и воды при их производстве и передаче;</w:t>
            </w:r>
          </w:p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538" w:val="left"/>
              </w:tabs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обеспечить оптимизацию топливно-энергетического баланса Варгашинского района за счет газификации и широкого вовлечения в хозяйственный оборот местных топливно-энергетических ресурсов (дрова, природный газ);</w:t>
            </w:r>
          </w:p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1018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620"/>
            </w:pPr>
            <w:r>
              <w:rPr>
                <w:rStyle w:val="CharStyle8"/>
              </w:rPr>
              <w:t>сократить энергетические издержки бюджетной сферы Варгашинского района;</w:t>
            </w:r>
          </w:p>
          <w:p>
            <w:pPr>
              <w:pStyle w:val="Style6"/>
              <w:numPr>
                <w:ilvl w:val="0"/>
                <w:numId w:val="1"/>
              </w:numPr>
              <w:framePr w:w="9571" w:h="10104" w:wrap="none" w:vAnchor="page" w:hAnchor="page" w:x="1584" w:y="5431"/>
              <w:tabs>
                <w:tab w:leader="none" w:pos="139" w:val="left"/>
              </w:tabs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популяризовать идеи энергосбережения среди населения</w:t>
            </w:r>
          </w:p>
        </w:tc>
      </w:tr>
      <w:tr>
        <w:trPr>
          <w:trHeight w:val="332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Исполните</w:t>
            </w:r>
          </w:p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ли</w:t>
            </w:r>
          </w:p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программы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571" w:h="10104" w:wrap="none" w:vAnchor="page" w:hAnchor="page" w:x="1584" w:y="543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8"/>
              </w:rPr>
              <w:t>управление экономического развития и имущественных отношений Администрации Варгашинского района, товарищества собственников жилья (по согласованию), управляющие организации (по согласованию), Отделы образования и культуры Администрации Варгашинского района, управление строительства, жилищно-коммунального хозяйства, транспорта и дорожной деятельности Администрации Варгашинского района, Финансовый отдел Администрации Варгашинского района, органы местного самоуправления, расположенные на территории Варгашинского района (по согласованию), частные операторы, оказывающие услуги в сфере энергетических ресурсов (по согласованию), учреждения Варгашинского района, строительные кооперативы (по согласованию), предприятия (по согласованию)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"/>
        <w:framePr w:w="9586" w:h="1545" w:hRule="exact" w:wrap="none" w:vAnchor="page" w:hAnchor="page" w:x="1576" w:y="106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60" w:right="0" w:firstLine="32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 реализации мероприятий муниципальной программы Варгашинского района «Энергосбережение и повышение энергетической эффективности в бюджетной сфере и жилищно-коммунальном комплексе</w:t>
      </w:r>
      <w:bookmarkEnd w:id="0"/>
    </w:p>
    <w:p>
      <w:pPr>
        <w:pStyle w:val="Style9"/>
        <w:framePr w:w="9586" w:h="1545" w:hRule="exact" w:wrap="none" w:vAnchor="page" w:hAnchor="page" w:x="1576" w:y="1060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2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Варгашинского района» за 2018год</w:t>
      </w:r>
      <w:bookmarkEnd w:id="1"/>
    </w:p>
    <w:tbl>
      <w:tblPr>
        <w:tblOverlap w:val="never"/>
        <w:tblLayout w:type="fixed"/>
        <w:jc w:val="left"/>
      </w:tblPr>
      <w:tblGrid>
        <w:gridCol w:w="643"/>
        <w:gridCol w:w="2861"/>
        <w:gridCol w:w="1090"/>
        <w:gridCol w:w="1373"/>
        <w:gridCol w:w="2366"/>
        <w:gridCol w:w="1253"/>
      </w:tblGrid>
      <w:tr>
        <w:trPr>
          <w:trHeight w:val="10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№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40" w:right="0" w:firstLine="0"/>
            </w:pPr>
            <w:r>
              <w:rPr>
                <w:rStyle w:val="CharStyle11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Наименование мероприятия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50" w:lineRule="exact"/>
              <w:ind w:left="0" w:right="0" w:firstLine="0"/>
            </w:pPr>
            <w:r>
              <w:rPr>
                <w:rStyle w:val="CharStyle11"/>
              </w:rPr>
              <w:t>Сроки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50" w:lineRule="exact"/>
              <w:ind w:left="0" w:right="0" w:firstLine="0"/>
            </w:pPr>
            <w:r>
              <w:rPr>
                <w:rStyle w:val="CharStyle11"/>
              </w:rPr>
              <w:t>исполнения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Источники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финанси</w:t>
              <w:softHyphen/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рования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11"/>
              </w:rPr>
              <w:t>Ответственный исполнитель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примечание</w:t>
            </w: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6</w:t>
            </w:r>
          </w:p>
        </w:tc>
      </w:tr>
      <w:tr>
        <w:trPr>
          <w:trHeight w:val="1056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по выявлению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недвижимого имущества</w:t>
            </w:r>
          </w:p>
        </w:tc>
      </w:tr>
      <w:tr>
        <w:trPr>
          <w:trHeight w:val="18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Выявление, постановка на учет и признание права муниципальной собственности в отношении бесхозяйных объектов недвижимого имущества, используемых для передачи электрической, тепловой энергии и воды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2010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6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300"/>
            </w:pPr>
            <w:r>
              <w:rPr>
                <w:rStyle w:val="CharStyle12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выполняется</w:t>
            </w:r>
          </w:p>
        </w:tc>
      </w:tr>
      <w:tr>
        <w:trPr>
          <w:trHeight w:val="65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по организации порядка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</w:t>
            </w:r>
          </w:p>
        </w:tc>
      </w:tr>
      <w:tr>
        <w:trPr>
          <w:trHeight w:val="19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Организация порядка управления (эксплуатации) бесхозяйными объектами недвижимого имущества, используемыми для передачи электрической, тепловой энергии и воды с момента их выявления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2010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7" w:lineRule="exact"/>
              <w:ind w:left="0" w:right="0" w:firstLine="0"/>
            </w:pPr>
            <w:r>
              <w:rPr>
                <w:rStyle w:val="CharStyle12"/>
              </w:rPr>
              <w:t>Финансирование 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300"/>
            </w:pPr>
            <w:r>
              <w:rPr>
                <w:rStyle w:val="CharStyle12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ведется</w:t>
            </w:r>
          </w:p>
        </w:tc>
      </w:tr>
      <w:tr>
        <w:trPr>
          <w:trHeight w:val="1195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ведение социальной нормы потребления энергетических ресурсов и дифференцированых цен (тарифов) на энергетические ресурсы в пределах и свыше социальной нормы потребления, введение цен (тарифов), дифференцированных по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времяни суток, выходным и рабочим дням</w:t>
            </w:r>
          </w:p>
        </w:tc>
      </w:tr>
      <w:tr>
        <w:trPr>
          <w:trHeight w:val="19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Утверждение долгосрочных инвестиционных программ организаций, осуществляющих регулируемые виды деятельности и переход на установление долгосрочных тарифов, в том числе на основе метода обеспечения доходности инвестированного капитала, в частности с применением метода сравнивания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Финансирование 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Отдел экономики торговли и труда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</w:tr>
      <w:tr>
        <w:trPr>
          <w:trHeight w:val="151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Установка приборов учета потребления энергетических ресурсов и воды в жилищном фонде, (приложение 6 к Программе)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2010-2012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60" w:right="0" w:firstLine="0"/>
            </w:pPr>
            <w:r>
              <w:rPr>
                <w:rStyle w:val="CharStyle12"/>
              </w:rPr>
              <w:t>внебюджетные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источники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(по</w:t>
            </w:r>
          </w:p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60" w:right="0" w:firstLine="0"/>
            </w:pPr>
            <w:r>
              <w:rPr>
                <w:rStyle w:val="CharStyle12"/>
              </w:rPr>
              <w:t>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Товарищества собственников жилья (по согласованию), управляющие организации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370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643"/>
        <w:gridCol w:w="2861"/>
        <w:gridCol w:w="1090"/>
        <w:gridCol w:w="1373"/>
        <w:gridCol w:w="2366"/>
        <w:gridCol w:w="1253"/>
      </w:tblGrid>
      <w:tr>
        <w:trPr>
          <w:trHeight w:val="869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по прединвестиционной подготовке проектов и мероприятий в области энергосбережения и повышения энергетической эффективности, включая разработку технико-экономических обоснований ,бизнес- планов, разработку схем теплоснабжения, водоснабжения и водоотведения, а также проведение энергетических обследований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Проведение добровольных энергетических обследований многоквартирных домов (приложение 4 к Программе)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2011-2020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 источники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Товарищества собственников жилья (по согласованию), управляющие организации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90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Обеспечение проведения энергетических обследований в отношении объектов муниципальной собственности, переданных в аренду (управление, хозяйственное ведение) организациями, осуществляющими регулируемые виды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2011-2020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 источники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Органы местного самоуправления, расположенные на территории Варгашинского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Разработка схем теплоснабжения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2013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Финансирование 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Органы местного самоуправления, расположенные на территории Варгашинского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7" w:lineRule="exact"/>
              <w:ind w:left="0" w:right="0" w:firstLine="0"/>
            </w:pPr>
            <w:r>
              <w:rPr>
                <w:rStyle w:val="CharStyle12"/>
              </w:rPr>
              <w:t>Разработка схем водоснабжения и водоотведения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2013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7" w:lineRule="exact"/>
              <w:ind w:left="0" w:right="0" w:firstLine="0"/>
            </w:pPr>
            <w:r>
              <w:rPr>
                <w:rStyle w:val="CharStyle12"/>
              </w:rPr>
              <w:t>Финансирование 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Органы местного самоуправления, расположенные на территории Варгашинского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955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660" w:right="0" w:hanging="320"/>
            </w:pPr>
            <w:r>
              <w:rPr>
                <w:rStyle w:val="CharStyle11"/>
              </w:rPr>
              <w:t>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действия,внедрению инновационных решений и технологий в целях повышения энергитической эффективности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осуществления регулируемых видов деятельности</w:t>
            </w:r>
          </w:p>
        </w:tc>
      </w:tr>
      <w:tr>
        <w:trPr>
          <w:trHeight w:val="9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Автоматизации и оптимизации технологических режимов работы оборудования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2010-2020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источники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(по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согласованию)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выполняется</w:t>
            </w:r>
          </w:p>
        </w:tc>
      </w:tr>
      <w:tr>
        <w:trPr>
          <w:trHeight w:val="11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Внедрения автоматизированной системы оперативного контроля и управления в системах теплоснабжения, газоснабжения, водоснабжения и водоотведения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</w:tr>
      <w:tr>
        <w:trPr>
          <w:trHeight w:val="10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Внедрение приборов автоматического регулирования тепловой энергии на системах отопления и горячего водоснабжения потребителей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9586" w:h="14558" w:wrap="none" w:vAnchor="page" w:hAnchor="page" w:x="1576" w:y="1130"/>
            </w:pPr>
          </w:p>
        </w:tc>
      </w:tr>
      <w:tr>
        <w:trPr>
          <w:trHeight w:val="461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50" w:lineRule="exact"/>
              <w:ind w:left="0" w:right="0" w:firstLine="0"/>
            </w:pPr>
            <w:r>
              <w:rPr>
                <w:rStyle w:val="CharStyle11"/>
              </w:rPr>
              <w:t>Мероприятия, направленные на снижение потребления энергетических ресурсов на собственные нужды при осуществлении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1"/>
              </w:rPr>
              <w:t>регулируемых видов деятельности</w:t>
            </w:r>
          </w:p>
        </w:tc>
      </w:tr>
      <w:tr>
        <w:trPr>
          <w:trHeight w:val="14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Приобретение и монтаж энергоэффективного технологического оборудования на котельных, станциях водоочистки, водозаборных и канализационных сооружениях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источники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(по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Мероприятия по сокращению потерь электрической энергии, тепловой энергии при их передаче</w:t>
            </w:r>
          </w:p>
        </w:tc>
      </w:tr>
      <w:tr>
        <w:trPr>
          <w:trHeight w:val="90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Замена изношенных систем теплоснабжения, с применением современных материалов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2010-2020</w:t>
            </w:r>
          </w:p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 источники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45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Мероприятия по сокращению потерь воды при ее передаче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643"/>
        <w:gridCol w:w="2861"/>
        <w:gridCol w:w="1090"/>
        <w:gridCol w:w="1373"/>
        <w:gridCol w:w="2366"/>
        <w:gridCol w:w="1253"/>
      </w:tblGrid>
      <w:tr>
        <w:trPr>
          <w:trHeight w:val="907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Замена изношенных систем водоснабжения и водоотведения, с применением современных материалов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2010-2020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внебюджетные источники (по согласованию)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38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Мероприятия по информационной поддержке и пропоганде энергосбережения и повышения энергетической эффективности на территории муниципального образования, направленные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заключеня энергосервисных договоров (контрактов) и об особенностях их заключения, об энергетической энергетической эффективности, бытовых энергопотребляющих устройств и других товаров,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1"/>
              </w:rPr>
              <w:t>маркировка энергетической эффективности</w:t>
            </w:r>
          </w:p>
        </w:tc>
      </w:tr>
      <w:tr>
        <w:trPr>
          <w:trHeight w:val="11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Заключение долгосрочных энергосервисных контактов для обеспечения муниципальных нужд (обслуживание энергоустановок)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2010-2020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Бюджетные учреждения Варгашинского района, органы местного самоуправления, расположенные на территории Варгашинского района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ведется</w:t>
            </w: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Разработка порядка стимулирования персонала бюджетных учреждений за осуществление энергосберегающих мероприятий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7" w:lineRule="exact"/>
              <w:ind w:left="0" w:right="0" w:firstLine="0"/>
            </w:pPr>
            <w:r>
              <w:rPr>
                <w:rStyle w:val="CharStyle12"/>
              </w:rPr>
              <w:t>2010- 2015 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7" w:lineRule="exact"/>
              <w:ind w:left="0" w:right="0" w:firstLine="0"/>
            </w:pPr>
            <w:r>
              <w:rPr>
                <w:rStyle w:val="CharStyle12"/>
              </w:rPr>
              <w:t>Финансирование 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Управление экономического развития и имущественных отношений Администрации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Мероприятия по модернизации оборудования, в том числе внедрение инновационных решений и технологий</w:t>
            </w: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Закупка энергоэффективного оборудования (замена светильников РКУ с лампами ДРЛ -400 на светильники ЖКУ с Лампами ДнаТ ЭПРА)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внебюджетные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источники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(по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Органы местного самоуправления, расположенные на территории Варгашинского района (по согласованию), частные операторы, оказывающие услуги в сфере энергетических ресурсов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1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Замена щитов учета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Бюджетные учреждения Органы местного самоуправления, расположенные на территории Варгашинского района (по согласованию),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1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Закупка энергоэффективного оборудования (замена ламп накаливания)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Бюджетные учреждения, Органы местного самоуправления, расположенные на территории Варгашинского района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16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Утепление зданий (замена и утепление оконных блоков и дверных проемов, утепление ограждающих конструкций) и ремонт системы отопления с применением энергоэффективного оборудования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Бюджетные учреждения, Органы местного самоуправления, расположенные на территории Варгашинского района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выполнено</w:t>
            </w:r>
          </w:p>
        </w:tc>
      </w:tr>
      <w:tr>
        <w:trPr>
          <w:trHeight w:val="370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1"/>
              </w:rPr>
              <w:t>Мероприятия по замещению твердого топлива, и расширению использования природного газа в качестве топлива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21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Перевод жилого сектора на использование природного газа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200" w:right="0" w:firstLine="0"/>
            </w:pPr>
            <w:r>
              <w:rPr>
                <w:rStyle w:val="CharStyle12"/>
              </w:rPr>
              <w:t>2010-2015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50" w:lineRule="exact"/>
              <w:ind w:left="0" w:right="0" w:firstLine="0"/>
            </w:pPr>
            <w:r>
              <w:rPr>
                <w:rStyle w:val="CharStyle12"/>
              </w:rPr>
              <w:t>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бюджет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Варгашинского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района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Администрация Варгашинского района, строительные кооперативы (по согласованию)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12"/>
              </w:rPr>
              <w:t>выполняется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областной бюджет (по согласованию)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</w:tr>
      <w:tr>
        <w:trPr>
          <w:trHeight w:val="917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внебюджетные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источники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2" w:lineRule="exact"/>
              <w:ind w:left="0" w:right="0" w:firstLine="0"/>
            </w:pPr>
            <w:r>
              <w:rPr>
                <w:rStyle w:val="CharStyle12"/>
              </w:rPr>
              <w:t>(по</w:t>
            </w:r>
          </w:p>
          <w:p>
            <w:pPr>
              <w:pStyle w:val="Style6"/>
              <w:framePr w:w="9586" w:h="12758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2" w:lineRule="exact"/>
              <w:ind w:left="180" w:right="0" w:firstLine="0"/>
            </w:pPr>
            <w:r>
              <w:rPr>
                <w:rStyle w:val="CharStyle12"/>
              </w:rPr>
              <w:t>согласованию)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framePr w:w="9586" w:h="12758" w:wrap="none" w:vAnchor="page" w:hAnchor="page" w:x="1576" w:y="1130"/>
            </w:pP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6"/>
        <w:framePr w:w="9586" w:h="1545" w:hRule="exact" w:wrap="none" w:vAnchor="page" w:hAnchor="page" w:x="1576" w:y="1060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 внесенных изменениях в муниципальную программу</w:t>
        <w:br/>
        <w:t>Варгашинского района «Энергосбережение и повышение энергетической</w:t>
        <w:br/>
        <w:t>эффективности в бюджетной сфере и жилищно-коммунальном комплексе</w:t>
      </w:r>
    </w:p>
    <w:p>
      <w:pPr>
        <w:pStyle w:val="Style6"/>
        <w:framePr w:w="9586" w:h="1545" w:hRule="exact" w:wrap="none" w:vAnchor="page" w:hAnchor="page" w:x="1576" w:y="1060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Варгашинского района» в 2018году</w:t>
      </w:r>
    </w:p>
    <w:tbl>
      <w:tblPr>
        <w:tblOverlap w:val="never"/>
        <w:tblLayout w:type="fixed"/>
        <w:jc w:val="left"/>
      </w:tblPr>
      <w:tblGrid>
        <w:gridCol w:w="4507"/>
        <w:gridCol w:w="2976"/>
        <w:gridCol w:w="2102"/>
      </w:tblGrid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1416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Реквизиты правового акта, утвердившего соответствующие изменения (с начала действия программы)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1416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Суть внесенного изменения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586" w:h="1416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Примечание</w:t>
            </w:r>
          </w:p>
        </w:tc>
      </w:tr>
      <w:tr>
        <w:trPr>
          <w:trHeight w:val="71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86" w:h="1416" w:wrap="none" w:vAnchor="page" w:hAnchor="page" w:x="1576" w:y="281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86" w:h="1416" w:wrap="none" w:vAnchor="page" w:hAnchor="page" w:x="1576" w:y="281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586" w:h="1416" w:wrap="none" w:vAnchor="page" w:hAnchor="page" w:x="1576" w:y="28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Изменения в программу невносились</w:t>
            </w:r>
          </w:p>
        </w:tc>
      </w:tr>
    </w:tbl>
    <w:p>
      <w:pPr>
        <w:pStyle w:val="Style6"/>
        <w:framePr w:w="9586" w:h="1545" w:hRule="exact" w:wrap="none" w:vAnchor="page" w:hAnchor="page" w:x="1576" w:y="4722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 финансировании муниципальной программы Варгашинского</w:t>
        <w:br/>
        <w:t>района «Энергосбережение и повышение энергетической эффективности в</w:t>
        <w:br/>
        <w:t>бюджетной сфере и жилищно-коммунальном комплексе Варгашинского</w:t>
      </w:r>
    </w:p>
    <w:p>
      <w:pPr>
        <w:pStyle w:val="Style6"/>
        <w:framePr w:w="9586" w:h="1545" w:hRule="exact" w:wrap="none" w:vAnchor="page" w:hAnchor="page" w:x="1576" w:y="4722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района» в 2018 году</w:t>
      </w:r>
    </w:p>
    <w:tbl>
      <w:tblPr>
        <w:tblOverlap w:val="never"/>
        <w:tblLayout w:type="fixed"/>
        <w:jc w:val="left"/>
      </w:tblPr>
      <w:tblGrid>
        <w:gridCol w:w="3192"/>
        <w:gridCol w:w="3192"/>
        <w:gridCol w:w="3202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rStyle w:val="CharStyle8"/>
              </w:rPr>
              <w:t>Источники финансирования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План, тыс. руб.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Факт, тыс. руб.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Всего, в т. ч.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6867,9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6867,9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федеральный бюджет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областной бюджет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0</w:t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8"/>
              </w:rPr>
              <w:t>бюджет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1082,9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1082,9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rStyle w:val="CharStyle8"/>
              </w:rPr>
              <w:t>вне-бюджет -ные источники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5785,0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586" w:h="2006" w:wrap="none" w:vAnchor="page" w:hAnchor="page" w:x="1576" w:y="647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8"/>
              </w:rPr>
              <w:t>5785,0</w:t>
            </w:r>
          </w:p>
        </w:tc>
      </w:tr>
    </w:tbl>
    <w:p>
      <w:pPr>
        <w:pStyle w:val="Style6"/>
        <w:framePr w:w="9586" w:h="1546" w:hRule="exact" w:wrap="none" w:vAnchor="page" w:hAnchor="page" w:x="1576" w:y="8975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Оценка достижений целевых индикаторов муниципальной программы</w:t>
        <w:br/>
        <w:t>Варгашинского района «Энергосбережение и повышение энергетической</w:t>
        <w:br/>
        <w:t>эффективности в бюджетной сфере и жилищно-коммунальном комплексе</w:t>
      </w:r>
    </w:p>
    <w:p>
      <w:pPr>
        <w:pStyle w:val="Style6"/>
        <w:framePr w:w="9586" w:h="1546" w:hRule="exact" w:wrap="none" w:vAnchor="page" w:hAnchor="page" w:x="1576" w:y="8975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Варгашинского района» в 2018 году</w:t>
      </w:r>
    </w:p>
    <w:tbl>
      <w:tblPr>
        <w:tblOverlap w:val="never"/>
        <w:tblLayout w:type="fixed"/>
        <w:jc w:val="left"/>
      </w:tblPr>
      <w:tblGrid>
        <w:gridCol w:w="3432"/>
        <w:gridCol w:w="1498"/>
        <w:gridCol w:w="1339"/>
        <w:gridCol w:w="1210"/>
        <w:gridCol w:w="1248"/>
        <w:gridCol w:w="859"/>
      </w:tblGrid>
      <w:tr>
        <w:trPr>
          <w:trHeight w:val="30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Наименование целевого индикатора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90" w:lineRule="exact"/>
              <w:ind w:left="0" w:right="0" w:firstLine="0"/>
            </w:pPr>
            <w:r>
              <w:rPr>
                <w:rStyle w:val="CharStyle13"/>
              </w:rPr>
              <w:t>Единица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90" w:lineRule="exact"/>
              <w:ind w:left="0" w:right="0" w:firstLine="0"/>
            </w:pPr>
            <w:r>
              <w:rPr>
                <w:rStyle w:val="CharStyle13"/>
              </w:rPr>
              <w:t>измерения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Значение целевого индикатора</w:t>
            </w:r>
          </w:p>
        </w:tc>
      </w:tr>
      <w:tr>
        <w:trPr>
          <w:trHeight w:val="9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4718" w:wrap="none" w:vAnchor="page" w:hAnchor="page" w:x="1576" w:y="10725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586" w:h="4718" w:wrap="none" w:vAnchor="page" w:hAnchor="page" w:x="1576" w:y="10725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Утверждено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в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комплексной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программе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Достигнуто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13"/>
              </w:rPr>
              <w:t>Отклонение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Оценка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в</w:t>
            </w:r>
          </w:p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баллах</w:t>
            </w:r>
          </w:p>
        </w:tc>
      </w:tr>
      <w:tr>
        <w:trPr>
          <w:trHeight w:val="11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ЭЭ, расчеты за которую осуществляются с использованием приборов учета, в общем объеме ЭЭ,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11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ТЭ,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116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воды, расчеты за которую осуществляются с использованием приборов учета, в общем объеме воды,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4718" w:wrap="none" w:vAnchor="page" w:hAnchor="page" w:x="1576" w:y="1072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3432"/>
        <w:gridCol w:w="1498"/>
        <w:gridCol w:w="1339"/>
        <w:gridCol w:w="1210"/>
        <w:gridCol w:w="1248"/>
        <w:gridCol w:w="859"/>
      </w:tblGrid>
      <w:tr>
        <w:trPr>
          <w:trHeight w:val="11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9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ЭЭ на снабжение органов местного самоуправления и казенных учреждений (в расчете на 1человека населения)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кВтч/чел.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52,4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52,4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ТЭ на снабжение органов местного самоуправления и казенных учреждений (в расчете на 1 кв метр общей площади)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Гкал/кв.м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11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Удельный расход холодной воды на снабжение органов местного самоуправления и казенных учреждений (в расчете на 1 человека населения)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куб.м./чел.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ЭЭ в многоквартирных домах (в расчете на 1проживающего)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кВтч/чел.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699,4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699,4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ТЭ в многоквартирных домах (в расчете на 1 кв метр общей площади)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Гкал/кв.м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куб.м./чел.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природного газа в многоквартирных домах с иными системами теплоснабжения (в расчете на 1жителя)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тыс.куб.м./чел.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  <w:tr>
        <w:trPr>
          <w:trHeight w:val="71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Удельный расход топлива на выработку тепловой энергии на котельных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т.у.т./Г кал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162,6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162,6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586" w:h="7925" w:wrap="none" w:vAnchor="page" w:hAnchor="page" w:x="1576" w:y="113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</w:t>
            </w:r>
          </w:p>
        </w:tc>
      </w:tr>
    </w:tbl>
    <w:p>
      <w:pPr>
        <w:pStyle w:val="Style9"/>
        <w:framePr w:w="9586" w:h="1546" w:hRule="exact" w:wrap="none" w:vAnchor="page" w:hAnchor="page" w:x="1576" w:y="955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60" w:right="0" w:firstLine="34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Оценка динамики целевых индикаторов муниципальной программы Варгашинского района «Энергосбережение и повышение энергетической эффективности в бюджетной сфере и жилищно-коммунальном комплексе</w:t>
      </w:r>
      <w:bookmarkEnd w:id="2"/>
    </w:p>
    <w:p>
      <w:pPr>
        <w:pStyle w:val="Style9"/>
        <w:framePr w:w="9586" w:h="1546" w:hRule="exact" w:wrap="none" w:vAnchor="page" w:hAnchor="page" w:x="1576" w:y="9551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Варгашинского района» за 2018 год</w:t>
      </w:r>
      <w:bookmarkEnd w:id="3"/>
    </w:p>
    <w:tbl>
      <w:tblPr>
        <w:tblOverlap w:val="never"/>
        <w:tblLayout w:type="fixed"/>
        <w:jc w:val="left"/>
      </w:tblPr>
      <w:tblGrid>
        <w:gridCol w:w="3432"/>
        <w:gridCol w:w="1296"/>
        <w:gridCol w:w="696"/>
        <w:gridCol w:w="787"/>
        <w:gridCol w:w="706"/>
        <w:gridCol w:w="1138"/>
        <w:gridCol w:w="998"/>
      </w:tblGrid>
      <w:tr>
        <w:trPr>
          <w:trHeight w:val="70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Целевые индикаторы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13"/>
              </w:rPr>
              <w:t>Единица</w:t>
            </w:r>
          </w:p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13"/>
              </w:rPr>
              <w:t>измерения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Год реализации</w:t>
            </w:r>
          </w:p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комплексной</w:t>
            </w:r>
          </w:p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программы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Последни й год (целевое значение)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</w:tr>
      <w:tr>
        <w:trPr>
          <w:trHeight w:val="37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053" w:h="3403" w:wrap="none" w:vAnchor="page" w:hAnchor="page" w:x="1576" w:y="11872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053" w:h="3403" w:wrap="none" w:vAnchor="page" w:hAnchor="page" w:x="1576" w:y="11872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2018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053" w:h="3403" w:wrap="none" w:vAnchor="page" w:hAnchor="page" w:x="1576" w:y="11872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9053" w:h="3403" w:wrap="none" w:vAnchor="page" w:hAnchor="page" w:x="1576" w:y="11872"/>
            </w:pPr>
          </w:p>
        </w:tc>
      </w:tr>
      <w:tr>
        <w:trPr>
          <w:trHeight w:val="11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ЭЭ, расчеты за которую осуществляются с использованием приборов учета, в общем объеме ЭЭ,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</w:tr>
      <w:tr>
        <w:trPr>
          <w:trHeight w:val="117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ТЭ,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13,9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21,4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3403" w:wrap="none" w:vAnchor="page" w:hAnchor="page" w:x="1576" w:y="1187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3432"/>
        <w:gridCol w:w="1296"/>
        <w:gridCol w:w="696"/>
        <w:gridCol w:w="787"/>
        <w:gridCol w:w="706"/>
        <w:gridCol w:w="1138"/>
        <w:gridCol w:w="998"/>
      </w:tblGrid>
      <w:tr>
        <w:trPr>
          <w:trHeight w:val="11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воды, расчеты за которую осуществляются с использованием приборов учета, в общем объеме воды, потребляемой (используемой)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</w:tr>
      <w:tr>
        <w:trPr>
          <w:trHeight w:val="116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3"/>
              </w:rPr>
              <w:t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МО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9053" w:h="2333" w:wrap="none" w:vAnchor="page" w:hAnchor="page" w:x="1627" w:y="113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</w:tr>
    </w:tbl>
    <w:p>
      <w:pPr>
        <w:pStyle w:val="Style9"/>
        <w:framePr w:w="9485" w:h="1166" w:hRule="exact" w:wrap="none" w:vAnchor="page" w:hAnchor="page" w:x="1627" w:y="3969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10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Результаты оценки программы Варгашинского района «Энергосбережение и</w:t>
        <w:br/>
        <w:t>повышение энергетической эффективности в бюджетной сфере и жилищно</w:t>
        <w:t>-</w:t>
        <w:br/>
        <w:t>коммунальном комплексе Варгашинского района» за 2018 год</w:t>
      </w:r>
      <w:bookmarkEnd w:id="4"/>
    </w:p>
    <w:tbl>
      <w:tblPr>
        <w:tblOverlap w:val="never"/>
        <w:tblLayout w:type="fixed"/>
        <w:jc w:val="left"/>
      </w:tblPr>
      <w:tblGrid>
        <w:gridCol w:w="4694"/>
        <w:gridCol w:w="4694"/>
      </w:tblGrid>
      <w:tr>
        <w:trPr>
          <w:trHeight w:val="10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Уровень выполнения программных мероприятий, % (количество полностью выполненных программных мероприятий к количеству запланированных к выполнению в отчетном году)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100%</w:t>
            </w:r>
          </w:p>
        </w:tc>
      </w:tr>
      <w:tr>
        <w:trPr>
          <w:trHeight w:val="8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Уровень освоения бюджетных средств, % (фактическое бюджетное финансирование к плановому — по бюджетам)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100%</w:t>
            </w:r>
          </w:p>
        </w:tc>
      </w:tr>
      <w:tr>
        <w:trPr>
          <w:trHeight w:val="11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Уровень достижения целевых индикаторов в отчетном году, % (отношение количества выполненных целевых индикаторов к общему количеству целевых индикаторов)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100%</w:t>
            </w:r>
          </w:p>
        </w:tc>
      </w:tr>
      <w:tr>
        <w:trPr>
          <w:trHeight w:val="57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3"/>
              </w:rPr>
              <w:t>Вывод об эффективности или неэффективности реализации государственной программы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9389" w:h="3658" w:wrap="none" w:vAnchor="page" w:hAnchor="page" w:x="1723" w:y="533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3"/>
              </w:rPr>
              <w:t>Ожидаемая эффективность достигнута</w:t>
            </w:r>
          </w:p>
        </w:tc>
      </w:tr>
    </w:tbl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2"/>
        <w:szCs w:val="22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5">
    <w:name w:val="Основной текст (3)"/>
    <w:basedOn w:val="CharStyle4"/>
    <w:rPr>
      <w:lang w:val="ru-RU" w:eastAsia="ru-RU" w:bidi="ru-RU"/>
      <w:sz w:val="28"/>
      <w:szCs w:val="28"/>
      <w:w w:val="100"/>
      <w:spacing w:val="0"/>
      <w:color w:val="000000"/>
      <w:position w:val="0"/>
    </w:rPr>
  </w:style>
  <w:style w:type="character" w:customStyle="1" w:styleId="CharStyle7">
    <w:name w:val="Основной текст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8">
    <w:name w:val="Основной текст (2) + 11 pt"/>
    <w:basedOn w:val="CharStyle7"/>
    <w:rPr>
      <w:lang w:val="ru-RU" w:eastAsia="ru-RU" w:bidi="ru-RU"/>
      <w:sz w:val="22"/>
      <w:szCs w:val="22"/>
      <w:w w:val="100"/>
      <w:spacing w:val="0"/>
      <w:color w:val="000000"/>
      <w:position w:val="0"/>
    </w:rPr>
  </w:style>
  <w:style w:type="character" w:customStyle="1" w:styleId="CharStyle10">
    <w:name w:val="Заголовок №1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1">
    <w:name w:val="Основной текст (2) + 7,5 pt,Полужирный"/>
    <w:basedOn w:val="CharStyle7"/>
    <w:rPr>
      <w:lang w:val="ru-RU" w:eastAsia="ru-RU" w:bidi="ru-RU"/>
      <w:b/>
      <w:bCs/>
      <w:sz w:val="15"/>
      <w:szCs w:val="15"/>
      <w:w w:val="100"/>
      <w:spacing w:val="0"/>
      <w:color w:val="000000"/>
      <w:position w:val="0"/>
    </w:rPr>
  </w:style>
  <w:style w:type="character" w:customStyle="1" w:styleId="CharStyle12">
    <w:name w:val="Основной текст (2) + 7,5 pt"/>
    <w:basedOn w:val="CharStyle7"/>
    <w:rPr>
      <w:lang w:val="ru-RU" w:eastAsia="ru-RU" w:bidi="ru-RU"/>
      <w:sz w:val="15"/>
      <w:szCs w:val="15"/>
      <w:w w:val="100"/>
      <w:spacing w:val="0"/>
      <w:color w:val="000000"/>
      <w:position w:val="0"/>
    </w:rPr>
  </w:style>
  <w:style w:type="character" w:customStyle="1" w:styleId="CharStyle13">
    <w:name w:val="Основной текст (2) + 9,5 pt"/>
    <w:basedOn w:val="CharStyle7"/>
    <w:rPr>
      <w:lang w:val="ru-RU" w:eastAsia="ru-RU" w:bidi="ru-RU"/>
      <w:sz w:val="19"/>
      <w:szCs w:val="19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center"/>
      <w:spacing w:after="30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6">
    <w:name w:val="Основной текст (2)"/>
    <w:basedOn w:val="Normal"/>
    <w:link w:val="CharStyle7"/>
    <w:pPr>
      <w:widowControl w:val="0"/>
      <w:shd w:val="clear" w:color="auto" w:fill="FFFFFF"/>
      <w:jc w:val="both"/>
      <w:spacing w:before="120" w:line="37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9">
    <w:name w:val="Заголовок №1"/>
    <w:basedOn w:val="Normal"/>
    <w:link w:val="CharStyle10"/>
    <w:pPr>
      <w:widowControl w:val="0"/>
      <w:shd w:val="clear" w:color="auto" w:fill="FFFFFF"/>
      <w:outlineLvl w:val="0"/>
      <w:spacing w:line="37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arhitektor3</dc:creator>
  <cp:keywords/>
</cp:coreProperties>
</file>