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3" w:rsidRDefault="008B4C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4C73" w:rsidRDefault="008B4C73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B4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C73" w:rsidRDefault="008B4C73">
            <w:pPr>
              <w:pStyle w:val="ConsPlusNormal"/>
            </w:pPr>
            <w:r>
              <w:t>5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C73" w:rsidRDefault="008B4C73">
            <w:pPr>
              <w:pStyle w:val="ConsPlusNormal"/>
              <w:jc w:val="right"/>
            </w:pPr>
            <w:r>
              <w:t>N 35</w:t>
            </w:r>
          </w:p>
        </w:tc>
      </w:tr>
    </w:tbl>
    <w:p w:rsidR="008B4C73" w:rsidRDefault="008B4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Title"/>
        <w:jc w:val="center"/>
      </w:pPr>
      <w:r>
        <w:t>КУРГАНСКАЯ ОБЛАСТЬ</w:t>
      </w:r>
    </w:p>
    <w:p w:rsidR="008B4C73" w:rsidRDefault="008B4C73">
      <w:pPr>
        <w:pStyle w:val="ConsPlusTitle"/>
        <w:jc w:val="center"/>
      </w:pPr>
    </w:p>
    <w:p w:rsidR="008B4C73" w:rsidRDefault="008B4C73">
      <w:pPr>
        <w:pStyle w:val="ConsPlusTitle"/>
        <w:jc w:val="center"/>
      </w:pPr>
      <w:r>
        <w:t>ЗАКОН</w:t>
      </w:r>
    </w:p>
    <w:p w:rsidR="008B4C73" w:rsidRDefault="008B4C73">
      <w:pPr>
        <w:pStyle w:val="ConsPlusTitle"/>
        <w:jc w:val="center"/>
      </w:pPr>
    </w:p>
    <w:p w:rsidR="008B4C73" w:rsidRDefault="008B4C73">
      <w:pPr>
        <w:pStyle w:val="ConsPlusTitle"/>
        <w:jc w:val="center"/>
      </w:pPr>
      <w:r>
        <w:t>ОБ УТВЕРЖДЕНИИ КРИТЕРИЕВ,</w:t>
      </w:r>
    </w:p>
    <w:p w:rsidR="008B4C73" w:rsidRDefault="008B4C73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ДОЛЖНЫ СООТВЕТСТВОВАТЬ ОБЪЕКТЫ</w:t>
      </w:r>
    </w:p>
    <w:p w:rsidR="008B4C73" w:rsidRDefault="008B4C73">
      <w:pPr>
        <w:pStyle w:val="ConsPlusTitle"/>
        <w:jc w:val="center"/>
      </w:pPr>
      <w:r>
        <w:t>СОЦИАЛЬНО-КУЛЬТУРНОГО И КОММУНАЛЬНО-БЫТОВОГО</w:t>
      </w:r>
    </w:p>
    <w:p w:rsidR="008B4C73" w:rsidRDefault="008B4C73">
      <w:pPr>
        <w:pStyle w:val="ConsPlusTitle"/>
        <w:jc w:val="center"/>
      </w:pPr>
      <w:r>
        <w:t xml:space="preserve">НАЗНАЧЕНИЯ, МАСШТАБНЫЕ ИНВЕСТИЦИОННЫЕ ПРОЕКТЫ, </w:t>
      </w:r>
      <w:proofErr w:type="gramStart"/>
      <w:r>
        <w:t>ДЛЯ</w:t>
      </w:r>
      <w:proofErr w:type="gramEnd"/>
    </w:p>
    <w:p w:rsidR="008B4C73" w:rsidRDefault="008B4C73">
      <w:pPr>
        <w:pStyle w:val="ConsPlusTitle"/>
        <w:jc w:val="center"/>
      </w:pPr>
      <w:r>
        <w:t>РАЗМЕЩЕНИЯ (РЕАЛИЗАЦИИ) КОТОРЫХ ДОПУСКАЕТСЯ ПРЕДОСТАВЛЕНИЕ</w:t>
      </w:r>
    </w:p>
    <w:p w:rsidR="008B4C73" w:rsidRDefault="008B4C73">
      <w:pPr>
        <w:pStyle w:val="ConsPlusTitle"/>
        <w:jc w:val="center"/>
      </w:pPr>
      <w:r>
        <w:t xml:space="preserve">ЗЕМЕЛЬНОГО УЧАСТКА, НАХОДЯЩЕГОСЯ В </w:t>
      </w:r>
      <w:proofErr w:type="gramStart"/>
      <w:r>
        <w:t>ГОСУДАРСТВЕННОЙ</w:t>
      </w:r>
      <w:proofErr w:type="gramEnd"/>
      <w:r>
        <w:t xml:space="preserve"> ИЛИ</w:t>
      </w:r>
    </w:p>
    <w:p w:rsidR="008B4C73" w:rsidRDefault="008B4C73">
      <w:pPr>
        <w:pStyle w:val="ConsPlusTitle"/>
        <w:jc w:val="center"/>
      </w:pPr>
      <w:r>
        <w:t xml:space="preserve">МУНИЦИПАЛЬНОЙ СОБСТВЕННОСТИ, В АРЕНДУ </w:t>
      </w:r>
      <w:proofErr w:type="gramStart"/>
      <w:r>
        <w:t>ЮРИДИЧЕСКИМ</w:t>
      </w:r>
      <w:proofErr w:type="gramEnd"/>
    </w:p>
    <w:p w:rsidR="008B4C73" w:rsidRDefault="008B4C73">
      <w:pPr>
        <w:pStyle w:val="ConsPlusTitle"/>
        <w:jc w:val="center"/>
      </w:pPr>
      <w:r>
        <w:t>ЛИЦАМ БЕЗ ПРОВЕДЕНИЯ ТОРГОВ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Normal"/>
        <w:jc w:val="right"/>
      </w:pPr>
      <w:proofErr w:type="gramStart"/>
      <w:r>
        <w:t>Принят</w:t>
      </w:r>
      <w:proofErr w:type="gramEnd"/>
    </w:p>
    <w:p w:rsidR="008B4C73" w:rsidRDefault="008B4C73">
      <w:pPr>
        <w:pStyle w:val="ConsPlusNormal"/>
        <w:jc w:val="right"/>
      </w:pPr>
      <w:r>
        <w:t>Постановлением Курганской областной Думы</w:t>
      </w:r>
    </w:p>
    <w:p w:rsidR="008B4C73" w:rsidRDefault="008B4C73">
      <w:pPr>
        <w:pStyle w:val="ConsPlusNormal"/>
        <w:jc w:val="right"/>
      </w:pPr>
      <w:r>
        <w:t>от 28 апреля 2015 г. N 174</w:t>
      </w:r>
    </w:p>
    <w:p w:rsidR="008B4C73" w:rsidRDefault="008B4C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4C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C73" w:rsidRDefault="008B4C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73" w:rsidRDefault="008B4C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Курганской области</w:t>
            </w:r>
            <w:proofErr w:type="gramEnd"/>
          </w:p>
          <w:p w:rsidR="008B4C73" w:rsidRDefault="008B4C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28.12.2016 </w:t>
            </w:r>
            <w:hyperlink r:id="rId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C73" w:rsidRDefault="008B4C73">
      <w:pPr>
        <w:pStyle w:val="ConsPlusNormal"/>
        <w:jc w:val="center"/>
      </w:pPr>
    </w:p>
    <w:p w:rsidR="008B4C73" w:rsidRDefault="008B4C73">
      <w:pPr>
        <w:pStyle w:val="ConsPlusTitle"/>
        <w:ind w:firstLine="540"/>
        <w:jc w:val="both"/>
        <w:outlineLvl w:val="0"/>
      </w:pPr>
      <w:r>
        <w:t>Статья 1. Критерии, которым должны соответствовать объекты социально-культурного и коммунально-бытового назначения, для размещения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Normal"/>
        <w:ind w:firstLine="540"/>
        <w:jc w:val="both"/>
      </w:pPr>
      <w:r>
        <w:t xml:space="preserve">Предоставление земельного участка, находящегося в государственной или муниципальной собственности, в соответствии со </w:t>
      </w:r>
      <w:hyperlink r:id="rId8" w:history="1">
        <w:r>
          <w:rPr>
            <w:color w:val="0000FF"/>
          </w:rPr>
          <w:t>статьей 39-6</w:t>
        </w:r>
      </w:hyperlink>
      <w:r>
        <w:t xml:space="preserve"> Земельного кодекса Российской Федерации в аренду юридическим лицам без проведения торгов в целях размещения объектов социально-культурного и коммунально-бытового назначения допускается в случае, если такие объекты:</w:t>
      </w:r>
    </w:p>
    <w:p w:rsidR="008B4C73" w:rsidRDefault="008B4C73">
      <w:pPr>
        <w:pStyle w:val="ConsPlusNormal"/>
        <w:spacing w:before="220"/>
        <w:ind w:firstLine="540"/>
        <w:jc w:val="both"/>
      </w:pPr>
      <w:r>
        <w:t>1) соответствуют целям и задачам, определенным в государственных программах Курганской области (муниципальных программах);</w:t>
      </w:r>
    </w:p>
    <w:p w:rsidR="008B4C73" w:rsidRDefault="008B4C73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Курганской области от 28.12.2016 N 107)</w:t>
      </w:r>
    </w:p>
    <w:p w:rsidR="008B4C73" w:rsidRDefault="008B4C73">
      <w:pPr>
        <w:pStyle w:val="ConsPlusNormal"/>
        <w:spacing w:before="220"/>
        <w:ind w:firstLine="540"/>
        <w:jc w:val="both"/>
      </w:pPr>
      <w:r>
        <w:t>2) предполагают строительство индивидуальных жилых домов, многоквартирных домов, передаваемых в собственность или социальный наем гражданам, лишившимся жилого помещения в результате чрезвычайных ситуаций.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масштабные инвестиционные проекты, для реализации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</w:t>
      </w:r>
    </w:p>
    <w:p w:rsidR="008B4C73" w:rsidRDefault="008B4C73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Курганской области от 28.12.2016 N 107)</w:t>
      </w:r>
    </w:p>
    <w:p w:rsidR="008B4C73" w:rsidRDefault="008B4C73">
      <w:pPr>
        <w:pStyle w:val="ConsPlusNormal"/>
        <w:jc w:val="both"/>
      </w:pPr>
    </w:p>
    <w:p w:rsidR="008B4C73" w:rsidRDefault="008B4C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Предоставление земельного участка, находящегося в государственной или муниципальной собственности, в соответствии со </w:t>
      </w:r>
      <w:hyperlink r:id="rId11" w:history="1">
        <w:r>
          <w:rPr>
            <w:color w:val="0000FF"/>
          </w:rPr>
          <w:t>статьей 39-6</w:t>
        </w:r>
      </w:hyperlink>
      <w:r>
        <w:t xml:space="preserve"> Земельного кодекса Российской </w:t>
      </w:r>
      <w:r>
        <w:lastRenderedPageBreak/>
        <w:t xml:space="preserve">Федерации в аренду юридическим лицам без проведения торгов в целях реализации масштабного инвестиционного проекта допускается в случае, если обосновывающими документами, представленными инициатором масштабного инвестиционного проекта, </w:t>
      </w:r>
      <w:proofErr w:type="spellStart"/>
      <w:r>
        <w:t>документарно</w:t>
      </w:r>
      <w:proofErr w:type="spellEnd"/>
      <w:r>
        <w:t xml:space="preserve"> подтверждено финансовое обеспечение инвестиционного проекта в размере не менее 25 процентов его стоимости, при условии соответствия указанного</w:t>
      </w:r>
      <w:proofErr w:type="gramEnd"/>
      <w:r>
        <w:t xml:space="preserve"> инвестиционного проекта одному из следующих критериев:</w:t>
      </w:r>
    </w:p>
    <w:p w:rsidR="008B4C73" w:rsidRDefault="008B4C73">
      <w:pPr>
        <w:pStyle w:val="ConsPlusNormal"/>
        <w:spacing w:before="220"/>
        <w:ind w:firstLine="540"/>
        <w:jc w:val="both"/>
      </w:pPr>
      <w:bookmarkStart w:id="0" w:name="P35"/>
      <w:bookmarkEnd w:id="0"/>
      <w:r>
        <w:t>1) стоимость инвестиционного проекта составляет свыше 50 миллионов рублей с количеством создаваемых рабочих мест не менее 10 - при его реализации на территории городских округов;</w:t>
      </w:r>
    </w:p>
    <w:p w:rsidR="008B4C73" w:rsidRDefault="008B4C73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2) стоимость инвестиционного проекта составляет свыше 25 миллионов рублей с количеством создаваемых рабочих мест не менее 5 - при его реализации на территории городских поселений (за исключением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(моногородов));</w:t>
      </w:r>
    </w:p>
    <w:p w:rsidR="008B4C73" w:rsidRDefault="008B4C73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3) стоимость инвестиционного проекта составляет свыше 5 миллионов рублей с количеством создаваемых рабочих мест не менее 3 - при его реализации на территории сельских поселений,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(моногородов).</w:t>
      </w:r>
    </w:p>
    <w:p w:rsidR="008B4C73" w:rsidRDefault="008B4C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определения соответствия масштабного инвестиционного проекта критериям, установленным настоящей статьей, в случае его реализации на территории одновременно двух и более муниципальных образований (городских округов, городских и сельских поселений) применяется один из критериев, указанных в </w:t>
      </w:r>
      <w:hyperlink w:anchor="P3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6" w:history="1">
        <w:r>
          <w:rPr>
            <w:color w:val="0000FF"/>
          </w:rPr>
          <w:t>2</w:t>
        </w:r>
      </w:hyperlink>
      <w:r>
        <w:t xml:space="preserve">, </w:t>
      </w:r>
      <w:hyperlink w:anchor="P37" w:history="1">
        <w:r>
          <w:rPr>
            <w:color w:val="0000FF"/>
          </w:rPr>
          <w:t>3 пункта 1</w:t>
        </w:r>
      </w:hyperlink>
      <w:r>
        <w:t xml:space="preserve"> настоящей статьи, значения которого (стоимость инвестиционного проекта, количество создаваемых рабочих мест) являются наибольшими.</w:t>
      </w:r>
      <w:proofErr w:type="gramEnd"/>
    </w:p>
    <w:p w:rsidR="008B4C73" w:rsidRDefault="008B4C73">
      <w:pPr>
        <w:pStyle w:val="ConsPlusNormal"/>
        <w:spacing w:before="220"/>
        <w:ind w:firstLine="540"/>
        <w:jc w:val="both"/>
      </w:pPr>
      <w:r>
        <w:t xml:space="preserve">3. В целях применения положений настоящей статьи под </w:t>
      </w:r>
      <w:proofErr w:type="spellStart"/>
      <w:r>
        <w:t>монопрофильными</w:t>
      </w:r>
      <w:proofErr w:type="spellEnd"/>
      <w:r>
        <w:t xml:space="preserve"> муниципальными образованиями (моногородами) понимаются муниципальные образования Курганской области, включенные в перечень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утверждаемый в соответствии с федеральным законодательством.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Title"/>
        <w:ind w:firstLine="540"/>
        <w:jc w:val="both"/>
        <w:outlineLvl w:val="0"/>
      </w:pPr>
      <w:r>
        <w:t>Статья 2-1. Порядок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настоящим Законом</w:t>
      </w:r>
    </w:p>
    <w:p w:rsidR="008B4C73" w:rsidRDefault="008B4C7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Курганской области от 28.03.2016 N 24)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Normal"/>
        <w:ind w:firstLine="540"/>
        <w:jc w:val="both"/>
      </w:pPr>
      <w:r>
        <w:t>Порядок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настоящим Законом, устанавливается указом Губернатора Курганской области.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Title"/>
        <w:ind w:firstLine="540"/>
        <w:jc w:val="both"/>
        <w:outlineLvl w:val="0"/>
      </w:pPr>
      <w:r>
        <w:t>Статья 3. Порядок вступления в силу настоящего Закона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B4C73" w:rsidRDefault="008B4C73">
      <w:pPr>
        <w:pStyle w:val="ConsPlusNormal"/>
        <w:jc w:val="center"/>
      </w:pPr>
    </w:p>
    <w:p w:rsidR="008B4C73" w:rsidRDefault="008B4C73">
      <w:pPr>
        <w:pStyle w:val="ConsPlusNormal"/>
        <w:jc w:val="right"/>
      </w:pPr>
      <w:r>
        <w:t>Губернатор Курганской области</w:t>
      </w:r>
    </w:p>
    <w:p w:rsidR="008B4C73" w:rsidRDefault="008B4C73">
      <w:pPr>
        <w:pStyle w:val="ConsPlusNormal"/>
        <w:jc w:val="right"/>
      </w:pPr>
      <w:r>
        <w:t>А.Г.КОКОРИН</w:t>
      </w:r>
    </w:p>
    <w:p w:rsidR="008B4C73" w:rsidRDefault="008B4C73">
      <w:pPr>
        <w:pStyle w:val="ConsPlusNormal"/>
        <w:jc w:val="both"/>
      </w:pPr>
      <w:r>
        <w:t>Курган</w:t>
      </w:r>
    </w:p>
    <w:p w:rsidR="008B4C73" w:rsidRDefault="008B4C73">
      <w:pPr>
        <w:pStyle w:val="ConsPlusNormal"/>
        <w:spacing w:before="220"/>
      </w:pPr>
      <w:r>
        <w:t>5 мая 2015 года</w:t>
      </w:r>
    </w:p>
    <w:p w:rsidR="008B4C73" w:rsidRDefault="008B4C73">
      <w:pPr>
        <w:pStyle w:val="ConsPlusNormal"/>
        <w:spacing w:before="220"/>
      </w:pPr>
      <w:r>
        <w:t>N 35</w:t>
      </w:r>
    </w:p>
    <w:p w:rsidR="00BF2FCB" w:rsidRDefault="00BF2FCB">
      <w:bookmarkStart w:id="3" w:name="_GoBack"/>
      <w:bookmarkEnd w:id="3"/>
    </w:p>
    <w:sectPr w:rsidR="00BF2FCB" w:rsidSect="001D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3"/>
    <w:rsid w:val="008B4C73"/>
    <w:rsid w:val="00B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D5603B47439D50112105D62E2492CB0C4FC9680288C643AD9BA49386CEE762BAD7C712EBBE1171D16D14162F1FF2201C0FB204Ah2x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D5603B47439D501120E50748E1526B0CFA2938C2984306186E1146F65E4216CE225366CB3EB434C52844468A6B06656D3F823552D2A2D15BFD1hBxCE" TargetMode="External"/><Relationship Id="rId12" Type="http://schemas.openxmlformats.org/officeDocument/2006/relationships/hyperlink" Target="consultantplus://offline/ref=040D5603B47439D501120E50748E1526B0CFA2938B2F803B6786E1146F65E4216CE225366CB3EB434C52854C68A6B06656D3F823552D2A2D15BFD1hBx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D5603B47439D501120E50748E1526B0CFA2938B2F803B6786E1146F65E4216CE225366CB3EB434C52844468A6B06656D3F823552D2A2D15BFD1hBxCE" TargetMode="External"/><Relationship Id="rId11" Type="http://schemas.openxmlformats.org/officeDocument/2006/relationships/hyperlink" Target="consultantplus://offline/ref=040D5603B47439D50112105D62E2492CB0C4FC9680288C643AD9BA49386CEE762BAD7C712EBBE1171D16D14162F1FF2201C0FB204Ah2x4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40D5603B47439D501120E50748E1526B0CFA2938C2984306186E1146F65E4216CE225366CB3EB434C52854D68A6B06656D3F823552D2A2D15BFD1hBx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D5603B47439D501120E50748E1526B0CFA2938C2984306186E1146F65E4216CE225366CB3EB434C52844568A6B06656D3F823552D2A2D15BFD1hBx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Имя2 Фамилия2</dc:creator>
  <cp:lastModifiedBy>Имя2 Фамилия2</cp:lastModifiedBy>
  <cp:revision>1</cp:revision>
  <cp:lastPrinted>2019-02-13T04:50:00Z</cp:lastPrinted>
  <dcterms:created xsi:type="dcterms:W3CDTF">2019-02-13T04:49:00Z</dcterms:created>
  <dcterms:modified xsi:type="dcterms:W3CDTF">2019-02-13T04:51:00Z</dcterms:modified>
</cp:coreProperties>
</file>