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8A" w:rsidRDefault="00DF0D8A" w:rsidP="00DF0D8A">
      <w:pPr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2 к Правилам благоустройства </w:t>
      </w:r>
      <w:r w:rsidR="00792CEA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Варгашинского муниципального округа Курганской области</w:t>
      </w:r>
    </w:p>
    <w:p w:rsidR="00DF0D8A" w:rsidRDefault="00DF0D8A" w:rsidP="008E28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8CE">
        <w:rPr>
          <w:rFonts w:ascii="Times New Roman" w:hAnsi="Times New Roman" w:cs="Times New Roman"/>
          <w:b/>
          <w:sz w:val="28"/>
          <w:szCs w:val="28"/>
        </w:rPr>
        <w:t>Требования к объемно-планировочным и колористическим решениям фасадов зданий, строений, сооружений на территории Варгашинского муниципального округа</w:t>
      </w:r>
    </w:p>
    <w:p w:rsidR="008E28CE" w:rsidRPr="008E28CE" w:rsidRDefault="008E28CE" w:rsidP="008E28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1. Зона регулирования застройки и хозяйственной деятельности, в пределах которой устанавливается режим использования земель и земельных участков, ограничивающий строительство и хозяйственную деятельность, определяются требования к реконструкции существующих зданий, строений и сооружений.</w:t>
      </w:r>
    </w:p>
    <w:p w:rsidR="00026BDA" w:rsidRPr="00526ED3" w:rsidRDefault="00A87CC0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>2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. Зона регулирования предусматривает режим использования территории, в том числе: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1) учет конкретных особенностей размещения нового строительства относительно памятников и сохранение их взаимосвязи;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2) обязательное согласование строительных и иных работ на земельных участках, непосредственно связанных с земельным участком в границах территории объекта культурного наследия с региональным органом охраны объектов культурного наследия (пункт 3 статьи 36 Федерального закона от 25.06.2002 № 73-ФЗ «Об объектах культурного наследия (памятниках истории и культуры) народов Российской Федерации»);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3) обязательное согласование с </w:t>
      </w:r>
      <w:r w:rsidR="00792CEA" w:rsidRPr="00792CEA">
        <w:rPr>
          <w:rFonts w:ascii="Times New Roman" w:hAnsi="Times New Roman" w:cs="Times New Roman"/>
          <w:sz w:val="24"/>
          <w:szCs w:val="24"/>
        </w:rPr>
        <w:t>отделом строительства, архитектуры и градостроительства Администрации Варгашинского муниципального округа Курганской области</w:t>
      </w:r>
      <w:r w:rsidR="0003435C" w:rsidRPr="0003435C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внешнего вида фасадов зданий, строений, сооружений при строительстве или реконструкции, а также проведении текущего или капитального ремонта эксплуатируемых зданий, строений, сооружений при условии изменения фасада здания, заборов и оград.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4) Категории объектов, регулируемые данной статьей: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1) проектируемые и реконструируемые объекты капитального строительства;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2) входные группы;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3) объекты некапитального строительства;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4) нестационарные торговые объекты;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5) объекты, в отношении которых планируется проведение текущего или капитального ремонта (при условии изменения архитектурного облика фасада здания), изменение фасада здания и колористических решений, а также отдельных элементов и частей, размещение архитектурно-художественной подсветки объекта, размещение малых архитектурных форм;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6) проектируемые или реконструируемые здания, строения, сооружения, ограждения (заборы и ограды);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7) размещение элементов рекламы, вывесок и информационных стендов.</w:t>
      </w:r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5. </w:t>
      </w:r>
      <w:proofErr w:type="gramStart"/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Цветовые оттенки колористической палитры в данной зоне, представлены в таблице «Колористическая палитра зоны регулирования застройки» как колористический вариант для окрашивания основной поверхности фасада, элементов фасада, оттенки для колористического решения кровли и ее </w:t>
      </w:r>
      <w:proofErr w:type="spellStart"/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доборных</w:t>
      </w:r>
      <w:proofErr w:type="spellEnd"/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элементов, элементов водоотведения, оконных и дверных конструкций, входных групп, цоколя, дополнительных элементов фасада, ограждений (оград и заборов), (таблица 1).</w:t>
      </w:r>
      <w:proofErr w:type="gramEnd"/>
    </w:p>
    <w:p w:rsidR="00026BDA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6. К внешнему архитектурному и колористическому решению ограждений предъявляются такие же требования, как и к фасадам зданий, строений и сооружений (таблица 1).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7.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При изменении фасадных решений объектов, расположенных в зоне регулирования строгого режима</w:t>
      </w:r>
      <w:proofErr w:type="gramStart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А</w:t>
      </w:r>
      <w:proofErr w:type="gramEnd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, представляющих архитектурную ценность и вписанных в историческую среду (кроме объектов культурного наследия), отдельно стоящих или блокированных к объектам культурного наследия, должны быть сохранены и восстановлены архитектурные элементы фасада, цветовая гамма, материал отделки фасада, возможно изменение материала отделки фасада при условии сохранения внешнего облика здания, характерного объектам культурного наследия, </w:t>
      </w:r>
      <w:proofErr w:type="gramStart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расположенным</w:t>
      </w:r>
      <w:proofErr w:type="gramEnd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в визуальном радиусе восприятия (не более 100 м) от данного объекта.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8.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К изменению фасадных решений объектов, расположенных в зоне регулирования строгого режима</w:t>
      </w:r>
      <w:proofErr w:type="gramStart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А</w:t>
      </w:r>
      <w:proofErr w:type="gramEnd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, представляющих архитектурные традиции «советского функционализма» и зданий, не представляющие архитектурной и исторической ценности, кроме зданий, блокированных к объектам культурного наследия, применимы следующие требования: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комплексный подход к формированию облика фасада;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сохранение или подчинение пропорций фасада к рядом стоящим зданиям и сооружениям;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формирование фасадного решения данного объекта, как фона или массы исторической архитектурной среды;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отсутствие цветовых пятен и контрастных колористических решений;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отсутствие глухих стен и укрупненных пропорций фасадов, обращенных к </w:t>
      </w:r>
      <w:proofErr w:type="spellStart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уличнодорожной</w:t>
      </w:r>
      <w:proofErr w:type="spellEnd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сети или открытым городским пространствам;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отсутствие рекламных и информационных вывесок, занимающих больше 1/6 части фасада;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отсутствие фрагментарной отделки.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9.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Материалы не допустимые в фасадных решениях, применяемых в данной зоне: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ПВХ и </w:t>
      </w:r>
      <w:proofErr w:type="gramStart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алюминиевый</w:t>
      </w:r>
      <w:proofErr w:type="gramEnd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сайдинг</w:t>
      </w:r>
      <w:proofErr w:type="spellEnd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(кроме объектов ИЖС);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профилированный металлический лист (за исключением объектов, расположенных на промышленных территориях);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неокрашенные </w:t>
      </w:r>
      <w:proofErr w:type="spellStart"/>
      <w:proofErr w:type="gramStart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асбесто</w:t>
      </w:r>
      <w:proofErr w:type="spellEnd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- цементные</w:t>
      </w:r>
      <w:proofErr w:type="gramEnd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листы;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древесные листовые материалы;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самоклеющиеся пленки;</w:t>
      </w:r>
    </w:p>
    <w:p w:rsidR="00026BDA" w:rsidRPr="00526ED3" w:rsidRDefault="00526ED3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proofErr w:type="spellStart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баннерная</w:t>
      </w:r>
      <w:proofErr w:type="spellEnd"/>
      <w:r w:rsidR="00026BDA" w:rsidRPr="00526ED3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ткань (сетка);</w:t>
      </w:r>
    </w:p>
    <w:p w:rsidR="008E28CE" w:rsidRPr="00526ED3" w:rsidRDefault="00026BDA" w:rsidP="00026B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- композитные материалы, алюминиевые кассеты (за исключением случаев, указанных в подпункте 3,4,6 пункта 4).</w:t>
      </w:r>
    </w:p>
    <w:p w:rsidR="00526ED3" w:rsidRDefault="00526ED3" w:rsidP="00526ED3">
      <w:pPr>
        <w:pStyle w:val="a3"/>
        <w:ind w:firstLine="567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526ED3">
        <w:rPr>
          <w:rFonts w:ascii="Times New Roman" w:hAnsi="Times New Roman" w:cs="Times New Roman"/>
          <w:sz w:val="24"/>
          <w:szCs w:val="24"/>
          <w:lang w:eastAsia="ru-RU" w:bidi="ru-RU"/>
        </w:rPr>
        <w:t>Таблица 1</w:t>
      </w:r>
    </w:p>
    <w:p w:rsidR="00A009D1" w:rsidRDefault="00A009D1" w:rsidP="00526ED3">
      <w:pPr>
        <w:pStyle w:val="a3"/>
        <w:ind w:firstLine="567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A009D1" w:rsidRDefault="00A009D1" w:rsidP="00526ED3">
      <w:pPr>
        <w:pStyle w:val="a3"/>
        <w:ind w:firstLine="567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A009D1" w:rsidRPr="00A009D1" w:rsidRDefault="00A009D1" w:rsidP="00A009D1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A009D1">
        <w:rPr>
          <w:rFonts w:ascii="Times New Roman" w:hAnsi="Times New Roman" w:cs="Times New Roman"/>
          <w:b/>
          <w:sz w:val="24"/>
          <w:szCs w:val="24"/>
          <w:lang w:eastAsia="ru-RU" w:bidi="ru-RU"/>
        </w:rPr>
        <w:t>Колористическая палитра зоны регулирования застройки</w:t>
      </w:r>
    </w:p>
    <w:p w:rsidR="00BC16DB" w:rsidRDefault="00BC16DB" w:rsidP="00526ED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76847" cy="3335731"/>
            <wp:effectExtent l="19050" t="0" r="153" b="0"/>
            <wp:docPr id="1" name="Рисунок 0" descr="1. Табл. 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Табл. 1.1.jpg"/>
                    <pic:cNvPicPr/>
                  </pic:nvPicPr>
                  <pic:blipFill>
                    <a:blip r:embed="rId5" cstate="print"/>
                    <a:srcRect t="6173"/>
                    <a:stretch>
                      <a:fillRect/>
                    </a:stretch>
                  </pic:blipFill>
                  <pic:spPr>
                    <a:xfrm>
                      <a:off x="0" y="0"/>
                      <a:ext cx="6476847" cy="333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ED3" w:rsidRDefault="00526ED3" w:rsidP="00BC16DB">
      <w:pPr>
        <w:jc w:val="center"/>
      </w:pPr>
    </w:p>
    <w:p w:rsidR="00BC16DB" w:rsidRDefault="00BC16DB" w:rsidP="00BC16DB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542684" cy="9757231"/>
            <wp:effectExtent l="19050" t="0" r="0" b="0"/>
            <wp:docPr id="2" name="Рисунок 1" descr="1. Табл. 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Табл. 1.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7126" cy="976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9D1" w:rsidRDefault="00A009D1" w:rsidP="00BC16DB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620928" cy="3138221"/>
            <wp:effectExtent l="19050" t="0" r="8472" b="0"/>
            <wp:docPr id="5" name="Рисунок 4" descr="1. Табл. 2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Табл. 2.1.jpg"/>
                    <pic:cNvPicPr/>
                  </pic:nvPicPr>
                  <pic:blipFill>
                    <a:blip r:embed="rId7" cstate="print"/>
                    <a:srcRect t="10462"/>
                    <a:stretch>
                      <a:fillRect/>
                    </a:stretch>
                  </pic:blipFill>
                  <pic:spPr>
                    <a:xfrm>
                      <a:off x="0" y="0"/>
                      <a:ext cx="6620930" cy="3138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9D1" w:rsidRDefault="00A009D1" w:rsidP="00BC16DB">
      <w:pPr>
        <w:jc w:val="center"/>
        <w:rPr>
          <w:noProof/>
          <w:lang w:eastAsia="ru-RU"/>
        </w:rPr>
      </w:pPr>
    </w:p>
    <w:p w:rsidR="00A009D1" w:rsidRDefault="00A009D1" w:rsidP="00BC16DB">
      <w:pPr>
        <w:jc w:val="center"/>
        <w:rPr>
          <w:noProof/>
          <w:lang w:eastAsia="ru-RU"/>
        </w:rPr>
      </w:pPr>
    </w:p>
    <w:p w:rsidR="00A009D1" w:rsidRDefault="00A009D1" w:rsidP="00BC16DB">
      <w:pPr>
        <w:jc w:val="center"/>
        <w:rPr>
          <w:noProof/>
          <w:lang w:eastAsia="ru-RU"/>
        </w:rPr>
      </w:pPr>
    </w:p>
    <w:p w:rsidR="002C40E3" w:rsidRDefault="00A009D1" w:rsidP="00BC16DB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549059" cy="9402656"/>
            <wp:effectExtent l="19050" t="0" r="4141" b="0"/>
            <wp:docPr id="4" name="Рисунок 3" descr="1. Табл. 2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Табл. 2.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9156" cy="940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9D1" w:rsidRDefault="00A009D1" w:rsidP="00BC16DB">
      <w:pPr>
        <w:jc w:val="center"/>
      </w:pPr>
    </w:p>
    <w:p w:rsidR="00CE651E" w:rsidRDefault="00CE651E" w:rsidP="00BC16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Зона современной застройки</w:t>
      </w:r>
    </w:p>
    <w:p w:rsidR="00CE651E" w:rsidRPr="00CE651E" w:rsidRDefault="00CE651E" w:rsidP="00CE6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1. 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Категории объектов, регулируемые данной статьей:</w:t>
      </w:r>
    </w:p>
    <w:p w:rsidR="00CE651E" w:rsidRPr="00CE651E" w:rsidRDefault="00CE651E" w:rsidP="00CE6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1) 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проектируемые и реконструируемые объекты капитального строительства, ограждения (заборы и ограды);</w:t>
      </w:r>
    </w:p>
    <w:p w:rsidR="00CE651E" w:rsidRPr="00CE651E" w:rsidRDefault="00CE651E" w:rsidP="00CE6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2) 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входные группы;</w:t>
      </w:r>
    </w:p>
    <w:p w:rsidR="00CE651E" w:rsidRPr="00CE651E" w:rsidRDefault="00CE651E" w:rsidP="00CE6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3) 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объекты некапитального строительства;</w:t>
      </w:r>
    </w:p>
    <w:p w:rsidR="00CE651E" w:rsidRPr="00CE651E" w:rsidRDefault="00CE651E" w:rsidP="00CE6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4) 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нестационарные торговые объекты;</w:t>
      </w:r>
    </w:p>
    <w:p w:rsidR="00CE651E" w:rsidRPr="00CE651E" w:rsidRDefault="00CE651E" w:rsidP="00CE6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5) 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объекты, в отношении которых планируется проведение текущего или капитального ремонта (при условии изменения фасада здания), изменение фасада здания и колористических решений, а также отдельных элементов и частей, размещение архитектурно-художественной подсветки объекта, размещение малых архитектурных форм;</w:t>
      </w:r>
    </w:p>
    <w:p w:rsidR="00CE651E" w:rsidRPr="00CE651E" w:rsidRDefault="00CE651E" w:rsidP="00CE6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6) 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размещение элементов рекламы, вывесок и информационных стендов.</w:t>
      </w:r>
    </w:p>
    <w:p w:rsidR="00CE651E" w:rsidRPr="00CE651E" w:rsidRDefault="00CE651E" w:rsidP="00CE6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2. 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Цветовые оттенки колористической палитры в данной зоне, представлены в таблице «Колористическая палитра зоны регулирования современной застройки» как точный колористический вариант для окрашивания поверхности фасада, элементов фасада, оттенки для колористического решения кровли и ее элементов, элементов водоотведения, оконных и дверных конструкций, элементов ограждения, входных групп, цоколя, дополнительных элементов фасада (таблица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2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).</w:t>
      </w:r>
    </w:p>
    <w:p w:rsidR="00CE651E" w:rsidRDefault="00CE651E" w:rsidP="00CE651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3. </w:t>
      </w: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 внешнему </w:t>
      </w:r>
      <w:proofErr w:type="gramStart"/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архитектурному решению</w:t>
      </w:r>
      <w:proofErr w:type="gramEnd"/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ограждения (ограды, забора) предъявляются такие же требования, как и к фасадам зданий, строений и сооружений расположенным в данной зоне (кроме производственных территорий).</w:t>
      </w:r>
    </w:p>
    <w:p w:rsidR="00CE651E" w:rsidRDefault="00CE651E" w:rsidP="00CE651E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Таблица 2</w:t>
      </w:r>
    </w:p>
    <w:p w:rsidR="00CE651E" w:rsidRDefault="00CE651E" w:rsidP="00CE651E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CE651E" w:rsidRPr="00CE651E" w:rsidRDefault="00CE651E" w:rsidP="00CE651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E651E">
        <w:rPr>
          <w:rFonts w:ascii="Times New Roman" w:hAnsi="Times New Roman" w:cs="Times New Roman"/>
          <w:sz w:val="28"/>
          <w:szCs w:val="28"/>
          <w:lang w:eastAsia="ru-RU" w:bidi="ru-RU"/>
        </w:rPr>
        <w:t>Колористическая палитра зоны регулирования современной застройки</w:t>
      </w:r>
    </w:p>
    <w:p w:rsidR="00A009D1" w:rsidRDefault="00CE651E" w:rsidP="00BC16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02997" cy="4286707"/>
            <wp:effectExtent l="19050" t="0" r="0" b="0"/>
            <wp:docPr id="6" name="Рисунок 5" descr="1. Табл. 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Табл. 3.1.jpg"/>
                    <pic:cNvPicPr/>
                  </pic:nvPicPr>
                  <pic:blipFill>
                    <a:blip r:embed="rId9" cstate="print"/>
                    <a:srcRect t="12121"/>
                    <a:stretch>
                      <a:fillRect/>
                    </a:stretch>
                  </pic:blipFill>
                  <pic:spPr>
                    <a:xfrm>
                      <a:off x="0" y="0"/>
                      <a:ext cx="6507162" cy="4289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09D1" w:rsidRPr="00A00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51E" w:rsidRDefault="00CE651E" w:rsidP="00BC16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32957" cy="9725323"/>
            <wp:effectExtent l="19050" t="0" r="5943" b="0"/>
            <wp:docPr id="7" name="Рисунок 6" descr="1. Табл. 3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Табл. 3.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6471" cy="9730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51E" w:rsidRPr="00A009D1" w:rsidRDefault="00CE651E" w:rsidP="00BC16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69533" cy="5448028"/>
            <wp:effectExtent l="19050" t="0" r="7467" b="0"/>
            <wp:docPr id="8" name="Рисунок 7" descr="1. Табл. 3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Табл. 3.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1564" cy="5449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651E" w:rsidRPr="00A009D1" w:rsidSect="00DF0D8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23BF2"/>
    <w:multiLevelType w:val="multilevel"/>
    <w:tmpl w:val="EB04A4EC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A7990"/>
    <w:multiLevelType w:val="multilevel"/>
    <w:tmpl w:val="CC1E17BC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419F4"/>
    <w:multiLevelType w:val="multilevel"/>
    <w:tmpl w:val="9684EB94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F738E0"/>
    <w:multiLevelType w:val="multilevel"/>
    <w:tmpl w:val="61429C60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01056A"/>
    <w:multiLevelType w:val="multilevel"/>
    <w:tmpl w:val="D7B24D20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605793"/>
    <w:multiLevelType w:val="multilevel"/>
    <w:tmpl w:val="F17E1482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CD530C"/>
    <w:multiLevelType w:val="multilevel"/>
    <w:tmpl w:val="86A28992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41600B"/>
    <w:multiLevelType w:val="multilevel"/>
    <w:tmpl w:val="8D660988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F0D8A"/>
    <w:rsid w:val="00026BDA"/>
    <w:rsid w:val="0003435C"/>
    <w:rsid w:val="002C40E3"/>
    <w:rsid w:val="002D2D9E"/>
    <w:rsid w:val="002E13A4"/>
    <w:rsid w:val="004D726E"/>
    <w:rsid w:val="00526ED3"/>
    <w:rsid w:val="00792CEA"/>
    <w:rsid w:val="008443F8"/>
    <w:rsid w:val="008E28CE"/>
    <w:rsid w:val="008F2656"/>
    <w:rsid w:val="0090077D"/>
    <w:rsid w:val="00A009D1"/>
    <w:rsid w:val="00A87CC0"/>
    <w:rsid w:val="00B007E4"/>
    <w:rsid w:val="00BC16DB"/>
    <w:rsid w:val="00CE651E"/>
    <w:rsid w:val="00D40EBB"/>
    <w:rsid w:val="00DF0D8A"/>
    <w:rsid w:val="00DF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28CE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026BD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26BDA"/>
    <w:pPr>
      <w:widowControl w:val="0"/>
      <w:shd w:val="clear" w:color="auto" w:fill="FFFFFF"/>
      <w:spacing w:after="240" w:line="254" w:lineRule="exact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BC1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6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arhitektor</dc:creator>
  <cp:keywords/>
  <dc:description/>
  <cp:lastModifiedBy>arhitektor</cp:lastModifiedBy>
  <cp:revision>5</cp:revision>
  <dcterms:created xsi:type="dcterms:W3CDTF">2023-10-01T10:56:00Z</dcterms:created>
  <dcterms:modified xsi:type="dcterms:W3CDTF">2024-03-18T09:10:00Z</dcterms:modified>
</cp:coreProperties>
</file>