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3069"/>
        <w:gridCol w:w="1259"/>
        <w:gridCol w:w="1116"/>
      </w:tblGrid>
      <w:tr w:rsidR="00BC03C5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31 декабря 2015 г.)</w:t>
            </w:r>
          </w:p>
        </w:tc>
      </w:tr>
      <w:tr w:rsidR="00BC03C5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</w:tr>
      <w:tr w:rsidR="00BC03C5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BC03C5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BC03C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2023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BC03C5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3C5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02287916</w:t>
            </w:r>
          </w:p>
        </w:tc>
      </w:tr>
      <w:tr w:rsidR="00BC03C5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финансового органа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BC03C5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:rsidR="00BC03C5" w:rsidRDefault="00B1656B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 Бюджеты районов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37606000</w:t>
            </w:r>
          </w:p>
        </w:tc>
      </w:tr>
      <w:tr w:rsidR="00BC03C5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3C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BC03C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</w:tr>
      <w:tr w:rsidR="00BC03C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    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субъекта бюджетной отчетности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"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01.01.2023 год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составило 28, из них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13;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органы власти – 10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9 (4 - сельсовета,1- городское поселение, 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района);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районная Дума)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 958 369,8 тыс. руб. при годовых назначениях 962 606,1 тыс. руб. или  99,6%, в том числе межбюджетные трансферты из областного бюджета 818 360,8 тыс. руб. или 98,3%  от годовых назначений (832 549,1 тыс. руб.). В 2022 году был возврат остатков межбюджетных трансфертов прошлых лет из бюджета района в областной бюджет в сумме 273,8 тыс. руб.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Собственные доходы составили 140 282,9 тыс. руб. или 107,9% от годовых назначений (130 057 тыс. руб.). По сравнению с 2021 годом объем собственных доходов увеличился на 4,0%.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Налоговые доходы – 115 438,7 тыс. руб., неналоговые доходы – 23 268,0 тыс. руб., прочие безвозмездные поступления – 1 576,2 тыс. руб. Удельный вес налоговых доходов составил 82,3%, неналоговых доходов – 16,6%, прочих безвозмездных поступлений – 1,1%.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  943 091,3 тыс. руб. или  99,0  % от годовых назначений на год (952 142,3 тыс. руб.), из них: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853 738,9 тыс. руб., или 98,4 % от годовых бюджетных назначений (867 927,3 тыс. руб.). В 2022 году был возврат остатков межбюджетных трансфертов прошлых лет из бюджета района в областной бюджет в сумме 273,8 тыс. руб.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Собственные доходы муниципального района составили 89 626,1 тыс. руб. или  106,4% от годового плана (84 215,0 тыс. руб.). По сравнению с 2021 годом собственные доходы района снизились на 1,6%.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доходы – 73 455,0 тыс. руб., неналоговые доходы – 15 142,9 тыс. руб., прочие безвозмездные поступления – 1 028,2 тыс. руб.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В доходную часть бюджетов поселений обеспечено поступление в сумме  364 537,9 тыс. руб. или  100,7 % к годовым назначениям (361 963,4 тыс. руб.)         в т. ч.: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313 881,1 тыс. руб. или 99,3 % от назначений на год (316 121,4 тыс. руб.);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-собственные доходы составили 50 656,8 тыс. руб. или 110,5% от годовых назначений (45 842,0) тыс. руб.). По сравнению с 2021 годом доходы поселений увеличились на 15,8%.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собственных доходов консолидированного бюджета доходы муниципального района составили 63,9%, доходы поселений – 36,1%.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собственных доходов наибольший удельный вес занимали следующие доходы: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доходы физических лиц –82 469,9 тыс. руб. или 58,8%;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налоги на имущество – 14 068,2 тыс. руб. или 10,0 %;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акцизы на нефтепродукты – 10 900,6 тыс. руб. или 7,8%;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-доходы от оказания платных услуг (работ) и компенсации затрат государства –     9 272,5 тыс. руб. или 6,6 %;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использования имущества – 7 897,3 тыс. руб. или 5,6%;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совокупный доход – 4 969,5 тыс. руб. или 3,5%;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продажи материальных и нематериальных активов – 3 366,2 тыс. руб. или 2,4%;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государственная пошлина  – 3 030,4 тыс. руб. или 2,2%.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штрафы, санкции, возмещение ущерба – 2 753,5 тыс. руб. или 2,0%;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безвозмездные поступления – 1 576,2 тыс. руб. или 1,1%.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общей суммы безвозмездных поступлений в бюджеты поселений перечислено физическими и юридическими лицами 548,0 тыс. руб., в том числе на следующие цели: 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решение вопросов по благоустройству  населенных пунктов  – 58,6 тыс. руб. (ремонт уличного освещения – 8,9 тыс. руб., выкашивание травы – 47,7 тыс. руб., благоустройство общественной территории – 2,0 тыс. руб.);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уличное освещение – 184,7 тыс. руб.;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строительство очистных сооружений – 72,7 тыс. руб.;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опашка населенных пунктов (в т. ч. приобретение плуга) – 232,0 тыс. руб.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За 2022 год доходы от  оказания платных услуг и иной приносящей доход деятельности составили  10 300,7 тыс. руб. или 103,5% к плановым назначениям, в том числе: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оказания платных услуг учреждениями, находящимися в ведении органов местного самоуправления – 9 272,5 тыс. руб. (101,5% к плановым назначениям);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безвозмездные поступления учреждениям, находящимся в ведении органов местного самоуправления – 1 028,2 тыс. руб. (126,5%  к плановым назначениям). 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Отклонения по доходам от плановых назначений в 2022 году более чем на 5 процентов составили: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101 «Налог на прибыль, доходы» - небольшое превышение (5,8%) связано с ростом фонда заработной платы, бюджетные назначения не уточнены;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105 «Налоги на совокупный доход» большой процент исполнения (117,5%) связан с тем, что большое количество индивидуальных предпринимателей стали применять патентную систему налогообложения, бюджетные назначения не были уточнены;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коду 106 «Налоги на имущество» - превышение составило 17,7% в связи с тем, что бюджетные назначения не были уточнены;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108 «Государственная пошлина» - превышение составило 7,6% в связи с тем, что бюджетные назначения не были уточнены;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111 «Доходы от использования имущества, находящегося в государственной и муниципальной собственности» - процент исполнения составил 116,1. Это связано с тем, что во втором полугодии были заключены новые договоры, крупные суммы арендной платы поступили уже в конце года, поэтому бюджетные назначения не были уточнены;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114 «Доходы от продажи материальные и нематериальных запасов» -  высокий процент исполнения (129,0%) связан с тем, что не была предусмотрена крупная продажа имущества и земли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сельсовете (0,2 тыс. руб. продажа зданий МТМ с гаражами и земля под ними), в Мостовском сельсовете (1,3 млн. руб. продажа здания МТМ и земля под ним), в Южном сельсовете (0,3 тыс. руб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продажа административного здания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земля под ним),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поссовете (18 тыс.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продажа строительного мусора и 288 тыс. руб. продажа земли), 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(620 тыс. руб. - продажа земли, 586 тыс. руб. - продажа имущества: здание детского сада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с.Спорном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разбор 50 тыс. руб., автобус КАВЗ 73 тыс. руб., автомобиль УАЗ 136 тыс. руб., автомобиль ГАЗ 149 тыс. руб., здание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водонасосоной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станции 70 тыс. руб., эстакада 10 тыс. руб., сварочный аппарат 6,9 тыс. руб.), в Отделе образования сдача металлолома 91 тыс. руб.;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116 «Штрафы, санкции, возмещение ущерба» - процент исполнения составил 106,7. Не были учтены поступившие в декабре 2022 года суммы штрафов в бюджет района (116 тыс. руб. за просрочку исполнения условий контракт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 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"Эльбрус" (ремонт дорог)) и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(35 тыс. руб. с физического лица по иску за незаконную вырубку леса);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207 «Прочие безвозмездные поступления», высокий процент выполнения плановых назначений (134,7%) связан с активным поступлением родительской платы на питание учащихся в общеобразовательных учреждениях в конце года. Также в декабре 2022 года поступили добровольные перечисления от физических лиц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 Бюджетные назначения по безвозмездным поступлениям не были уточнены.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по доходам в 2022 году по сравнению с 2021 годом более чем на 5 процентов составили: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101 «Налог на прибыль, доходы» - небольшое превышение (5,8%) связано с ростом фонда заработной платы;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коду 103 "Налоги на товары (работы, услуги), реализуемые на территории Российской Федерации" исполнение к факту 2021 года составило 118,5% в связи с тем, что на 2022 год был увеличен процент поэтапной передачи в бюджеты субъектов Российской Федерации акцизов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105 "Налоги на совокупный доход":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Единый налог на вмененный доход для отдельных видов деятельности - исполнение к уровню прошлого года составило 7,4% в связи с тем, что с 1 января 2021 года данный налог отменен, налогоплательщики перешли на другие режимы налогообложения.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Единый сельскохозяйственный налог - исполнение к уровню прошлого года составило 65,1% в связи с тем, что в марте 2021 года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поступил налог в сумме 2304,6 тыс. руб. (ООО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Пичугино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").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Налог, взимаемый в связи с применением патентной системы налогообложения - рост по сравнению с 2021 годом в 1,8 раза образовался в связи с тем, что  с 1 января 2021 года отменен единый налог на вмененный доход для отдельных видов деятельности, большинство налогоплательщиков перешли на патентный режим налогообложения.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106 "Налоги на имущество"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имущество физических лиц - рост по сравнению с 2021 годом (120,4%) произошло по нескольким причинам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1 января 2020 года налоговой базой является кадастровая стоимость (вместо инвентаризационной) объектов, а также увеличение налоговой ставки в отношении объектов, включенных в перечень, определяемый в соответствии со статьей 378.2 Налогового кодекса Российской Федерации.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Земельный налог – рост по сравнению с прошлым годом (111,5%) произошло в связи с тем, что в 2022 году проводились активные мероприятия по сокращению недоимки и уплате налога (комиссии).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108 «Государственная пошлина» - рост на 21,2% в связи с увеличением количества нотариальных действий;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111 "Доходы от использования имущества, находящегося в государственной и муниципальной собственности" - увеличение доходов (113,9%) в связи с тем, что в 2022 году было большое поступление арендной платы за землю и имущество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бюджеты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Южного,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Мостовского сельсоветов (частичное погашение задолженности), заключены новые договоры аренды в сельских поселениях.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коду 112 "Платежи при пользовании природными ресурсами" - снижение на 67,6% в связи с тем, что в 2022 году некоторые плательщики заплатили сборов намного меньше, чем в 2021 году, например: 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завод ППСО" - на 7,8 тыс. руб., ООО "Племенной завод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- на 16,8 тыс. руб.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114 «Доходы от продажи материальных и нематериальных запасов» - рост поступивших доходов в 2022 году составил 164,0% в связи с тем, что прошли крупные продажи земли и имущества 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а также в Южном, Мостовском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сельсоветах.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116 "Штрафы, санкции, возмещение ущерба" - увеличение в 1,9 раза в 2022 году в связи с поступившим штрафом за неисполнение условий контракта подрядчиком (строительство очистных сооружений)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(1,5 млн. руб.).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117 "Прочие неналоговые доходы" – снижение в связи с тем, что в 2022 году были уточнены невыясненные платежи в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207 "Прочие безвозмездные поступления" - уменьшение в 2022 году в 7,4 раза в связи с тем, что в 2021 году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ДРСП поступили добровольные пожертвования на ремонт МКОУ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СОШ" в размере 10 000 тыс. рублей.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Плановые назначения на 2022 год все поселения перевыполнили: сельское поселение Мостовской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на 41,5%,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– 34,1%, Южный сельсовет – 24,1%, 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на 3,4%,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 – на 6,0%.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   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     Расходы консолидированного бюджета района за отчетный период составили 966416,3 тыс. руб., что составило 98,0 % от годовых назначений (986227,3 тыс. руб.). 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955574,7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98,27 % от годовых назначений (972458,5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межбюджетные трансферты  бюджетам поселений 313881,1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360100,9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98,59% от годовых назначений (365268,4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35378,2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Остатки средств консолидированного бюджета района по состоянию на 01.01.2023 года составили 15848,7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B5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B504B" w:rsidRPr="004B5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8101,1 тыс. руб., по бюджетам поселений 7747,6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BC03C5" w:rsidRDefault="00B1656B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 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январе 2022 года возвращены в областной бюджет остатки прошлого года в сумме 273752,21 рублей,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235000,0 руб.  -  субсидия на организацию отдыха детей  в лагерях дневного пребывания в каникулярное время (заявка на возврат № 1 от 21.01.2022 года), 38752,21 руб. - субсидия на обеспечение питанием обучающихся образовательных учреждений (заявка на возврат № 2 от 21.01.2022г.)</w:t>
      </w:r>
      <w:proofErr w:type="gramEnd"/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ф.0503320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"Баланс исполнения консолидированного бюджета субъекта Российской Федерации и бюджета территориального государственного внебюджетного фонда"</w:t>
      </w:r>
    </w:p>
    <w:tbl>
      <w:tblPr>
        <w:tblW w:w="9765" w:type="dxa"/>
        <w:tblInd w:w="-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34"/>
        <w:gridCol w:w="2464"/>
        <w:gridCol w:w="2464"/>
      </w:tblGrid>
      <w:tr w:rsidR="00BC03C5">
        <w:trPr>
          <w:trHeight w:val="300"/>
        </w:trPr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C03C5" w:rsidRDefault="00B1656B">
            <w:pPr>
              <w:ind w:firstLine="7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C03C5" w:rsidRDefault="00B1656B">
            <w:pPr>
              <w:ind w:firstLine="7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C03C5" w:rsidRDefault="00B1656B">
            <w:pPr>
              <w:ind w:firstLine="7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C03C5" w:rsidRDefault="00B1656B">
            <w:pPr>
              <w:ind w:firstLine="7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 января 2023 года  на балансе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числилось основных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умме 467997712,36 руб. (амортизация 373754715,79 руб.). Процент износа основных средств составил 79,87 % .  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Имущество казны составило 1537140203,89руб. (амортизация 742224841,69 руб.). Процент износа 48,29%. Непроизведенные активы в составе имущества казны по состоянию на 1 января 2023 года составили 397487445,74руб.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Расшифровки по счетам 401.50 и 401.60 прилагаются.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0" w:name="_dx_frag_StartFragment"/>
      <w:bookmarkStart w:id="1" w:name="16RU1377703"/>
      <w:bookmarkEnd w:id="0"/>
      <w:r>
        <w:rPr>
          <w:rFonts w:ascii="Calibri" w:eastAsia="Calibri" w:hAnsi="Calibri" w:cs="Calibri"/>
          <w:b/>
          <w:color w:val="000000"/>
        </w:rPr>
        <w:t>правило №ФК-2129</w:t>
      </w:r>
      <w:bookmarkEnd w:id="1"/>
      <w:r>
        <w:rPr>
          <w:rFonts w:ascii="Calibri" w:eastAsia="Calibri" w:hAnsi="Calibri" w:cs="Calibri"/>
          <w:b/>
          <w:color w:val="000000"/>
        </w:rPr>
        <w:t xml:space="preserve">; </w:t>
      </w:r>
      <w:bookmarkStart w:id="2" w:name="16RU1377707"/>
      <w:r>
        <w:rPr>
          <w:rFonts w:ascii="Calibri" w:eastAsia="Calibri" w:hAnsi="Calibri" w:cs="Calibri"/>
          <w:b/>
          <w:color w:val="000000"/>
        </w:rPr>
        <w:t>правило №ФК-427</w:t>
      </w:r>
      <w:bookmarkStart w:id="3" w:name="_dx_frag_EndFragment"/>
      <w:bookmarkEnd w:id="2"/>
      <w:bookmarkEnd w:id="3"/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Операции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финасовыми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активами и обязательствами баланса и финансовый результат по счетам баланса не соответствуют идентичным показателям в ф.321  на сумму заключительных оборотов по счету 304.06 - 14720015,76 руб. - перенос активов и обязательств в связи с изменением типа учреждения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казенного на бюджетное.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0503321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"Консолидированный  отчет о финансовых результатах деятельности"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форме прилагается.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b/>
          <w:color w:val="000000"/>
          <w:sz w:val="20"/>
          <w:szCs w:val="20"/>
          <w:shd w:val="clear" w:color="auto" w:fill="EFEFFF"/>
        </w:rPr>
        <w:t>Правило №ФК-112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>по стр.093 гр.13 по КОСГУ 173 отражено списание администраторами доходов безнадежной дебиторской задолженности в сумме 1086047,82руб. (205.11 - 47,0 руб., 205.23 - 32739,71 руб. и 205.45 - 1053561,11 руб.)</w:t>
      </w:r>
    </w:p>
    <w:p w:rsidR="00BC03C5" w:rsidRDefault="00B1656B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>по стр.092 гр.14 и 15 по КОСГУ 172 отражены в отрицательном значении, т.к. списано и реализовано имущества на большую сумму, чем начислено доходов.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</w:t>
      </w:r>
    </w:p>
    <w:p w:rsidR="00BC03C5" w:rsidRDefault="00B1656B" w:rsidP="004B504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 Просроченная кредиторская задолженность по состоянию на 01.01.2023 года отсутствовала.</w:t>
      </w:r>
      <w:bookmarkStart w:id="4" w:name="P11760"/>
      <w:bookmarkEnd w:id="4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В отчетном периоде долговые обязательства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отсутствовали.</w:t>
      </w:r>
    </w:p>
    <w:p w:rsidR="00BC03C5" w:rsidRDefault="00B1656B">
      <w:pPr>
        <w:ind w:hanging="3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  Ф.0503368 "Сведения о движении нефинансовых активов консолидированного бюджета" </w:t>
      </w:r>
    </w:p>
    <w:p w:rsidR="00BC03C5" w:rsidRDefault="00B1656B">
      <w:pPr>
        <w:ind w:hanging="3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Вложения в объекты государственной муниципальной казны на сумму 46554500,80 руб.: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 счете 1.106.51 отражены муниципальные квартиры, приобретенное в течение 2022 года в рамках муниципальной программы по переселению граждан из аварийного жилищного фонда на сумму 45941614,80 руб.</w:t>
      </w:r>
      <w:proofErr w:type="gramEnd"/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 счете 1.106.52 отражено движимое имущество, составляющее казну, приобретенное в течение 2022 года на сумму 612886,0 руб.(281000,00 рублей аппарат по продаже воды; 215996,00 рублей ворота секционные подъемные для муниципального пожарного поста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ычево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памятник-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стелла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Камышное-115890,00 рублей).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Ф.0503371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 финансовых вложениях»   сумма финансовых вложений на конец года составила 76140260,82 руб., в том числе 4000,00 акции  и 76136260,82 руб. участие в государственны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муниципальных) бюджетных учреждениях.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0503190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«Сведения о вложениях в объекты недвижимого имущества, объектах незавершенного строительства»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Фактические расходы по строительству канализационных очистных сооружений в сумме 47356690,54 рублей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переданы в МБУ "Служба ЖКХ и благоустройства". Фактические расходы по проектно-сметной документации в сумме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Пичугинского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 переданы из МКУ Центр культуры Современник в МБУ Центр культуры Современник.</w:t>
      </w:r>
    </w:p>
    <w:p w:rsidR="00BC03C5" w:rsidRDefault="00B1656B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Форма отчета 0503175" Сведения и принятых и неисполненных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получателя бюджетных средств" - расшифровка кода 99 (иные причины).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Сумма неисполненных бюджетных обязательств по сельским советам и городскому поселению по заработной плате - остаток ЛБО, по услугам связи - остатки по договорам ввиду отсутствия счетов на оплату, по коммунальным услугам - остаток по договорам,  по услугам по содержанию имущества - остаток по договорам, по приобретению ГСМ - отсутствие ЛБО по поздно предоставленным документам на оплату. 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Сумма неисполненных денежных обязательств по сельским советам и городскому поселению по услугам связи - выставленные в январе 2023 г. счета за декабрь 2022г, по коммунальным услугам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ыставленные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январе 2023 г. счета за декабрь 2022г, по услугам по содержанию имущества - счета за декабрь 2022 г, выставленный на оплату в последний рабочий день), по приобретению ГС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поздно предоставленные документов.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 Не исполнение бюджетных и денежных обязательств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- 01045940080020244 на сумму 852,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связано с несвоевременным предоставлением документов (чеков), для того чтобы заказать денежные средства и оплатить задолженность.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обязательств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-070303203S7240243 на сумму 8049,91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- 07030320317240243 на сумму 6687325,84 руб. связано с тем, что работы будут выполняться в 2023году.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денежных обязательств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-07030320317240243 на сумму 3679206,73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spellEnd"/>
      <w:proofErr w:type="gramEnd"/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-070303203S7240243 на сумму 4423,32 руб. связано с отсутствием финансирования;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обязательств по Отделу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района: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-070359300120970612- отклонение образовалось из-за того, что фактическая потребность оказалась ниже выделенных лимитов - 109 120 руб.00коп.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spacing w:before="240" w:after="240" w:line="240" w:lineRule="atLeast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отчета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0503296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"Сведения об исполнении судебных решений по денежным обязательствам"- поступило и исполнено судебных решений судов судебной системы Российской Федерации  по состоянию на 1 января 2023года  в сумме 76485,25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C03C5" w:rsidRDefault="00B1656B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  по  Отделу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46265,13 руб.  </w:t>
      </w:r>
    </w:p>
    <w:p w:rsidR="00BC03C5" w:rsidRDefault="00B1656B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 Администрации Поселкового совета 30220,12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Годовая инвентаризация имущества и обязательств в учреждениях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проведена в полном объеме.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Годовая отчетность за 2022 год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представлена в полном объеме администраторами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района: 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-УФНС России по Курганской области;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-Департамент гражданской защиты, охраны окружающей среды и природных ресурсов Курганской области;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-УМВД России по Курганской области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остальным администраторам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за 2022 год отчетность не представлена.</w:t>
      </w:r>
    </w:p>
    <w:p w:rsidR="00BC03C5" w:rsidRDefault="00B1656B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3C5" w:rsidRDefault="00B1656B">
      <w:pPr>
        <w:rPr>
          <w:rFonts w:ascii="Courier New" w:eastAsia="Courier New" w:hAnsi="Courier New" w:cs="Courier New"/>
        </w:rPr>
      </w:pPr>
      <w:bookmarkStart w:id="5" w:name="_GoBack"/>
      <w:bookmarkEnd w:id="5"/>
      <w:r>
        <w:rPr>
          <w:rFonts w:ascii="Tahoma" w:eastAsia="Tahoma" w:hAnsi="Tahoma" w:cs="Tahoma"/>
          <w:color w:val="000000"/>
          <w:sz w:val="28"/>
          <w:szCs w:val="28"/>
        </w:rPr>
        <w:t> </w:t>
      </w:r>
    </w:p>
    <w:p w:rsidR="00BC03C5" w:rsidRDefault="00BC03C5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053"/>
        <w:gridCol w:w="2957"/>
      </w:tblGrid>
      <w:tr w:rsidR="00BC03C5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BC03C5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3C5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</w:tr>
      <w:tr w:rsidR="00BC03C5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3C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03C5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BC03C5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C03C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3C5">
        <w:trPr>
          <w:trHeight w:val="281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3C5" w:rsidRDefault="00B1656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</w:tr>
    </w:tbl>
    <w:p w:rsidR="00BC03C5" w:rsidRDefault="00B1656B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BC03C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03C5"/>
    <w:rsid w:val="004B504B"/>
    <w:rsid w:val="00B1656B"/>
    <w:rsid w:val="00BC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3</cp:revision>
  <dcterms:created xsi:type="dcterms:W3CDTF">2023-03-24T04:51:00Z</dcterms:created>
  <dcterms:modified xsi:type="dcterms:W3CDTF">2023-03-24T05:40:00Z</dcterms:modified>
</cp:coreProperties>
</file>