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3D532A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3D532A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  <w:tr w:rsidR="003D532A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D532A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3D532A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01.01.2023</w:t>
            </w:r>
          </w:p>
        </w:tc>
      </w:tr>
      <w:tr w:rsidR="003D532A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3D532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Обособленное подразделение 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_______________________________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</w:tr>
      <w:tr w:rsidR="003D532A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Учредитель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3D532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</w:tr>
      <w:tr w:rsidR="003D532A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3D532A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3D532A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532A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3D532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D532A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</w:tbl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1 "Организационная структура учреждения", включает: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01.01.2023 год включает в себя </w:t>
      </w:r>
      <w:r>
        <w:rPr>
          <w:rFonts w:ascii="Times New Roman" w:eastAsia="Times New Roman" w:hAnsi="Times New Roman" w:cs="Times New Roman"/>
          <w:color w:val="000000"/>
        </w:rPr>
        <w:t>пять муниципальных бюджетных учреждения: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образования </w:t>
      </w:r>
      <w:r>
        <w:rPr>
          <w:rFonts w:ascii="Times New Roman" w:eastAsia="Times New Roman" w:hAnsi="Times New Roman" w:cs="Times New Roman"/>
          <w:color w:val="000000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3D532A" w:rsidRDefault="00B72971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искусств»,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3D532A" w:rsidRDefault="00B72971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3D532A" w:rsidRDefault="00B72971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"Служба ЖКХ и </w:t>
      </w:r>
      <w:r>
        <w:rPr>
          <w:rFonts w:ascii="Times New Roman" w:eastAsia="Times New Roman" w:hAnsi="Times New Roman" w:cs="Times New Roman"/>
          <w:color w:val="000000"/>
        </w:rPr>
        <w:t>благоустройства"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учредитель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532A" w:rsidRDefault="00B72971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D532A" w:rsidRDefault="00B72971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учреждения", включает:</w:t>
      </w:r>
    </w:p>
    <w:p w:rsidR="003D532A" w:rsidRDefault="00B72971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отчета об исполнении учреждением плана его деятельности ", включает: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Утверждено плановых назначений по КФО </w:t>
      </w:r>
      <w:r>
        <w:rPr>
          <w:rFonts w:ascii="Times New Roman" w:eastAsia="Times New Roman" w:hAnsi="Times New Roman" w:cs="Times New Roman"/>
          <w:color w:val="000000"/>
        </w:rPr>
        <w:t>2 на 01.01.2023г. - 2527521,8 руб., поступило – 2594490,15 руб. (102,6% от плановых), кассовый расход составил 2460051,34 руб.(97,3% от плановых).</w:t>
      </w:r>
      <w:proofErr w:type="gramEnd"/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lastRenderedPageBreak/>
        <w:t>Утверждено плановых назначений по КФО 4 на 01.01.2023г. - 40907801,91 руб., доведено – 40755634,53 руб. (99,6</w:t>
      </w:r>
      <w:r>
        <w:rPr>
          <w:rFonts w:ascii="Times New Roman" w:eastAsia="Times New Roman" w:hAnsi="Times New Roman" w:cs="Times New Roman"/>
          <w:color w:val="000000"/>
        </w:rPr>
        <w:t>% от плановых), кассовый расход составил 40755634,53 руб.(99,6% от плановых).</w:t>
      </w:r>
      <w:proofErr w:type="gramEnd"/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Утверждено плановых назначений по КФО 5 на 01.01.2023г. - 23856591,38 руб., доведено – 19656050,2руб. (82,4% от плановых), кассовый расход составил 8748839,59 руб.(36,7% от плано</w:t>
      </w:r>
      <w:r>
        <w:rPr>
          <w:rFonts w:ascii="Times New Roman" w:eastAsia="Times New Roman" w:hAnsi="Times New Roman" w:cs="Times New Roman"/>
          <w:color w:val="000000"/>
        </w:rPr>
        <w:t>вых).</w:t>
      </w:r>
      <w:proofErr w:type="gramEnd"/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Плановых назначений по КФО-6 на 01.01.2023г. утверждено 155227594,28руб., доведено – 155227594,28руб. (100% от плановых), кассовый расход составил 7307441,02 руб.(4,7% от плановых).</w:t>
      </w:r>
      <w:proofErr w:type="gramEnd"/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«Сведения об остатках денежных средств учреждения» (</w:t>
      </w:r>
      <w:r>
        <w:rPr>
          <w:rFonts w:ascii="Times New Roman" w:eastAsia="Times New Roman" w:hAnsi="Times New Roman" w:cs="Times New Roman"/>
          <w:b/>
          <w:color w:val="000000"/>
        </w:rPr>
        <w:t>ф. 0503779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</w:rPr>
        <w:t xml:space="preserve">щий остаток денежных средств на лицевых счетах в органах казначейства по состоянию на 01.01.2023 г. составил –   162788584,96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303650,05 руб.,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во временном распоряжении - 8 500,00руб.,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</w:t>
      </w:r>
      <w:r>
        <w:rPr>
          <w:rFonts w:ascii="Times New Roman" w:eastAsia="Times New Roman" w:hAnsi="Times New Roman" w:cs="Times New Roman"/>
          <w:color w:val="000000"/>
        </w:rPr>
        <w:t xml:space="preserve">ии на иные цели- 14556281,65 руб. (в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2924323,43 денежные средства на проектно-сметную документацию по трехстороннему соглашению от 22.12.2020 года от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 МБУ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исскуств</w:t>
      </w:r>
      <w:proofErr w:type="gramStart"/>
      <w:r>
        <w:rPr>
          <w:rFonts w:ascii="Times New Roman" w:eastAsia="Times New Roman" w:hAnsi="Times New Roman" w:cs="Times New Roman"/>
          <w:color w:val="000000"/>
        </w:rPr>
        <w:t>"п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передаче прав и обязанносте</w:t>
      </w:r>
      <w:r>
        <w:rPr>
          <w:rFonts w:ascii="Times New Roman" w:eastAsia="Times New Roman" w:hAnsi="Times New Roman" w:cs="Times New Roman"/>
          <w:color w:val="000000"/>
        </w:rPr>
        <w:t>й заказчика; 753522,0- приобретение трактора );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субсидия на капвложения - 147920153,26 руб. (строительство очистных сооружений).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 баланса бюджетных учреждений (ф.0503730) составил 440438598,03 руб., обязательства - 398911,88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разд. 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баланса 23028847488,0 руб. - расчеты по средствам, полученным во временное распоряжение 8500,00 руб. - расчеты с учредителем 76132260,82 руб. - доходы будущих периодов 153410721 руб. - резервы предстоящих расходов 338081,18 руб.). Исходя из сведений о дв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ижении нефинансовых активов (ф.0503768) ОЦДИ и недвижимое имущество бюджетных учреждений составило 132945926,13руб. (в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аммортизация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Таким образом, чистые активы бюджетных учреждений по состоянию на 01.01.2023 год составили 307093760,02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(4404385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98,03-398911,88-132945926,13)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4 "Анализ показателей отчетности учреждения", включает:</w:t>
      </w:r>
      <w:r>
        <w:rPr>
          <w:rFonts w:ascii="Calibri" w:eastAsia="Calibri" w:hAnsi="Calibri" w:cs="Calibri"/>
          <w:color w:val="000000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tbl>
      <w:tblPr>
        <w:tblW w:w="921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3D532A">
        <w:trPr>
          <w:trHeight w:val="108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0503721 "Отчет о финансовых результатах деятельности учреждения"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КОСГУ к отчету прилагается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 ф. 0503723 "Отчет о движении денежных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средств учреждения"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КБК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0502 КВР 407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228 на сумму 724747,61 руб. оплачена проектно-сметная документация на строительство очистных сооружений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переданы права по трехстороннему соглашению от 22.12.2020 года МБУ ШИ от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Варгашинс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поссовета).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КБК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0502 КВР 407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310 на сумму 7307441,02 руб. проплачен аванс на приобретение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строительства очистных сооружений в МБУ "Служба ЖКХ и благоустройства"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0503730 "Отчет о движении денежных средств учрежде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ния"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будущих периодов 401.50 в 2022 году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отсутсвовали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Резервы будущих периодов сч.401.60 сформированы в сумме 338081,18 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 прилагается)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Денежные обязательства на исполнение судебных решений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(ф.0503295)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исполнены на сумму 7695,35 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Таблица 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результатам инвентаризаций, проведенных в 2022 году, расхождений не выявлено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  <w:proofErr w:type="gramEnd"/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форме 0503790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графа 21 (кассовые расходы) 7307441,02 рублей меньше графы 20 (фактические расходы) 47 356 69,54 рублей,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фактические расходы по строит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ельству канализационных очистных сооружений за 2022 год переданы от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поссовета.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Финансового управления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О.А.Славина</w:t>
            </w:r>
            <w:proofErr w:type="spellEnd"/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бухгалтер                                   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Е.Н.Павлова</w:t>
            </w:r>
            <w:proofErr w:type="spellEnd"/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3D532A" w:rsidRDefault="003D532A"/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040"/>
        <w:gridCol w:w="4370"/>
      </w:tblGrid>
      <w:tr w:rsidR="003D532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532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532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3D532A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D532A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53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  <w:tr w:rsidR="003D53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D532A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  <w:tr w:rsidR="003D53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3D53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D532A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</w:tbl>
    <w:p w:rsidR="003D532A" w:rsidRDefault="003D532A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3D532A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532A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  <w:tr w:rsidR="003D532A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  <w:tr w:rsidR="003D532A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</w:tbl>
    <w:p w:rsidR="003D532A" w:rsidRDefault="00B72971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532A" w:rsidRDefault="00B72971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3D532A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3D532A">
            <w:pPr>
              <w:rPr>
                <w:sz w:val="8"/>
              </w:rPr>
            </w:pP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3D532A">
            <w:pPr>
              <w:rPr>
                <w:sz w:val="8"/>
              </w:rPr>
            </w:pPr>
          </w:p>
        </w:tc>
      </w:tr>
      <w:tr w:rsidR="003D532A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3D532A" w:rsidRDefault="00B729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3D532A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D532A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</w:tr>
      <w:tr w:rsidR="003D532A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3D532A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D532A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3D532A"/>
        </w:tc>
      </w:tr>
      <w:tr w:rsidR="003D532A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532A" w:rsidRDefault="00B729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3D532A" w:rsidRDefault="00B72971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</w:p>
    <w:sectPr w:rsidR="003D532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532A"/>
    <w:rsid w:val="003D532A"/>
    <w:rsid w:val="00B7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2023-03-24T04:50:00Z</dcterms:created>
  <dcterms:modified xsi:type="dcterms:W3CDTF">2023-03-24T04:50:00Z</dcterms:modified>
</cp:coreProperties>
</file>