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706" w:rsidRDefault="00817B4F">
      <w:pPr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660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1"/>
        <w:gridCol w:w="3261"/>
        <w:gridCol w:w="2128"/>
        <w:gridCol w:w="1560"/>
      </w:tblGrid>
      <w:tr w:rsidR="00530706">
        <w:trPr>
          <w:trHeight w:val="273"/>
        </w:trPr>
        <w:tc>
          <w:tcPr>
            <w:tcW w:w="9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0706" w:rsidRDefault="00817B4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Утв. приказом Минфина РФ</w:t>
            </w:r>
          </w:p>
          <w:p w:rsidR="00530706" w:rsidRDefault="00817B4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28 декабря 2010 г. № 191н</w:t>
            </w:r>
          </w:p>
          <w:p w:rsidR="00530706" w:rsidRDefault="00817B4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(в ред. от 2 ноября 2017 г.)</w:t>
            </w:r>
          </w:p>
        </w:tc>
      </w:tr>
      <w:tr w:rsidR="00530706">
        <w:trPr>
          <w:trHeight w:val="273"/>
        </w:trPr>
        <w:tc>
          <w:tcPr>
            <w:tcW w:w="9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0706" w:rsidRDefault="00817B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530706" w:rsidRDefault="00817B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530706" w:rsidRDefault="00817B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530706">
        <w:trPr>
          <w:trHeight w:val="337"/>
        </w:trPr>
        <w:tc>
          <w:tcPr>
            <w:tcW w:w="80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0706" w:rsidRDefault="00817B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0706" w:rsidRDefault="00817B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530706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0706" w:rsidRDefault="00817B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30706" w:rsidRDefault="00817B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0706" w:rsidRDefault="00817B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0706" w:rsidRDefault="00817B4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0706" w:rsidRDefault="00817B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530706">
        <w:trPr>
          <w:trHeight w:val="273"/>
        </w:trPr>
        <w:tc>
          <w:tcPr>
            <w:tcW w:w="596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0706" w:rsidRDefault="00817B4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октября 2023 г.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0706" w:rsidRDefault="00817B4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0706" w:rsidRDefault="00817B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01.10.2023</w:t>
            </w:r>
          </w:p>
        </w:tc>
      </w:tr>
      <w:tr w:rsidR="00530706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0706" w:rsidRDefault="00817B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0706" w:rsidRDefault="00817B4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Варгашинский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0706" w:rsidRDefault="00817B4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0706" w:rsidRDefault="00817B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02287916</w:t>
            </w:r>
          </w:p>
        </w:tc>
      </w:tr>
      <w:tr w:rsidR="00530706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0706" w:rsidRDefault="00817B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0706" w:rsidRDefault="00817B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0706" w:rsidRDefault="00817B4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0706" w:rsidRDefault="00817B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530706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0706" w:rsidRDefault="00817B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0706" w:rsidRDefault="00817B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Бюджеты районов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0706" w:rsidRDefault="00817B4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0706" w:rsidRDefault="00817B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37606000</w:t>
            </w:r>
          </w:p>
        </w:tc>
      </w:tr>
      <w:tr w:rsidR="00530706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0706" w:rsidRDefault="00817B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0706" w:rsidRDefault="00817B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0706" w:rsidRDefault="00817B4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0706" w:rsidRDefault="00817B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30706">
        <w:trPr>
          <w:trHeight w:val="356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0706" w:rsidRDefault="00817B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0706" w:rsidRDefault="00817B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0706" w:rsidRDefault="00817B4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ОКЕИ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0706" w:rsidRDefault="00817B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530706" w:rsidRDefault="00817B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30706" w:rsidRDefault="00817B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30706" w:rsidRDefault="00817B4F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1 «Организационная структура субъекта бюджетной отчетности»</w:t>
      </w:r>
    </w:p>
    <w:p w:rsidR="00530706" w:rsidRDefault="00817B4F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30706" w:rsidRDefault="00817B4F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01.10.2023 год количество получателей бюджетных средств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составило 26, из них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казенных учреждений – 11;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автономных – 0;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бюджетных – 5;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органы власти – 10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из них: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главных распорядителей бюджетных средств – 9 (4 - сельсовета,1- городское поселение, Финансовое управление, аппарат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района, аппарат Отдела культуры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района, аппарат Отдела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образования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района);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получателей бюджетных средств – 1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 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районная Дума)</w:t>
      </w:r>
    </w:p>
    <w:p w:rsidR="00530706" w:rsidRDefault="00817B4F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первом квартале прекратило свою деятельность МКУ Мостовской СДК, дата внесения записи в ЕГРЮЛ 26.01.2023г.,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провоприемник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МБУ Центр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культуры "Современник".</w:t>
      </w:r>
    </w:p>
    <w:p w:rsidR="00530706" w:rsidRDefault="00817B4F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связи с преобразованием муниципальных образований путем объединения всех поселений, входящих в состав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Курганской области, во вновь образованное муниципальное образование 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округ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Курганской области, на основании решений Думы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от 25 апреля 2023г. главные распорядители бюджетных средств района проходят стадию ликвидации. Главные распорядители бюджетных средств муниципального округа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прощли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регистраци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в налоговом органе 11 июля 2023г. Лицевые счета в УФК открыты 08 сентября 2023г.</w:t>
      </w:r>
    </w:p>
    <w:p w:rsidR="00530706" w:rsidRDefault="00817B4F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30706" w:rsidRDefault="00817B4F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3 «Анализ отчета об исполнении бюджета субъектом бюджетной отчетности»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:rsidR="00530706" w:rsidRDefault="00817B4F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отчетный период в консолидированный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поступили доходы в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умме  625955,4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при годовых назначениях 824519,8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или 75,9 % 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межбюджетные трансферты из областного бюджета составили 500569,2 тыс. руб. или 72,4 %  от годовых назначений (691096,8 тыс. руб.); 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собственные доходы составили 125678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,7 тыс. руб. или  94,2 % от годовых назначений (133423,0 тыс. руб.);  </w:t>
      </w:r>
    </w:p>
    <w:p w:rsidR="00530706" w:rsidRDefault="00817B4F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Доходы муниципального района составили 608412,8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или 76,4 % от годовых назначений (796672,8 тыс. руб.)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 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межбюджетные трансферты из областного бюджета 500569,2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или   72,4 % от годовых назначений (691096,8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.);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-собственные доходы составили  87678,6 тыс. руб. или 102,7 % от годового плана 85411,0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-   получено из бюджетов поселений межбюджетных трансфертов по передаче полномочий в сумме  20165,0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   Доходы, полученные из областного бюджета по коду доходов бюджетной классификации 00020200000000000000, сверены с Управлением Федерального казначейства по Курганской области. 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В доходную часть бюджетов поселений  обеспечено поступл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ение в сумме 197684,8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или 74,2 % к годовым назначениям (197684,8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.)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 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межбюджетные трансферты 108960,0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или 72,8 % от назначений на год (149672,8тыс. руб.);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-собственные доходы  38000,1 тыс. руб. или 79,1 % от годовых назна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чений (48012,0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.);      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 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расходной части отклонений с отчетностью Управления Федерального казначейства по Курганской области не установлено. 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Расходы консолидированного бюджета района за отчетный период составили 576167,0 тыс. руб., чт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составило 68,6 % от годовых назначений (839683,0 тыс. руб.). </w:t>
      </w:r>
    </w:p>
    <w:p w:rsidR="00530706" w:rsidRDefault="00817B4F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бюджета муниципального района составили 555342,1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уб.или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69,0 % от годовых назначений (80385,0 тыс. руб.),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</w:p>
    <w:p w:rsidR="00530706" w:rsidRDefault="00817B4F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-перечислены межбюджетные трансферты  бюджетам поселений 108960,0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30706" w:rsidRDefault="00817B4F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бюджетов поселений составили  149949,9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что составило 73,1 % от годовых назначений (205135,8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.),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-перечислены иные межбюджетные трансферты бюджету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 20165,0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30706" w:rsidRDefault="00817B4F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Остатки средств консолидир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ованного бюджета района по состоянию на 01.10.2023 года составили 65637,14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уб.в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по бюджету района 61171,87 тыс. руб., по бюджетам поселений 4465,27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</w:p>
    <w:p w:rsidR="00530706" w:rsidRDefault="00817B4F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   В январе 2023 года возвращены в областной бюджет остатки прошлого года в сумм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292555,2 рублей  -  субсидия на обеспечение мероприятий по переселению граждан из аварийного жилищного фонда (заявка на возврат № 1 от 19.01.2023 года).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</w:t>
      </w:r>
      <w:bookmarkStart w:id="1" w:name="_dx_frag_StartFragment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Просроченная кредиторская задолженность по состоянию на 01.10.2023 года составила 1071829,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60 руб.</w:t>
      </w:r>
    </w:p>
    <w:p w:rsidR="00530706" w:rsidRDefault="00817B4F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bookmarkStart w:id="2" w:name="16RU1346566"/>
      <w:bookmarkEnd w:id="2"/>
    </w:p>
    <w:p w:rsidR="00530706" w:rsidRDefault="00817B4F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4 "Анализ показателей бухгалтерской отчетности субъекта бюджетной отчетности"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 ф.0503128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начислении заработной платы за сентябрь показатель принятых бюджетных обязательств (КВР 121 и 129) превысил ЛБО</w:t>
      </w:r>
      <w:bookmarkStart w:id="3" w:name="_dx_frag_EndFragment"/>
      <w:bookmarkEnd w:id="3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решением Думы об уточнении бюджета №106 от 5 октября 2023г. лимиты уточнены.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30706" w:rsidRDefault="00817B4F">
      <w:pPr>
        <w:ind w:firstLine="560"/>
        <w:jc w:val="both"/>
        <w:rPr>
          <w:color w:val="000000"/>
        </w:rPr>
      </w:pPr>
      <w:bookmarkStart w:id="4" w:name="SF0A22"/>
      <w:r>
        <w:rPr>
          <w:rFonts w:ascii="Calibri" w:eastAsia="Calibri" w:hAnsi="Calibri" w:cs="Calibri"/>
          <w:b/>
          <w:color w:val="000000"/>
        </w:rPr>
        <w:t>Проверка: 0503128M - 0503169M</w:t>
      </w:r>
      <w:bookmarkEnd w:id="4"/>
      <w:r>
        <w:rPr>
          <w:rFonts w:ascii="Calibri" w:eastAsia="Calibri" w:hAnsi="Calibri" w:cs="Calibri"/>
          <w:b/>
          <w:color w:val="000000"/>
        </w:rPr>
        <w:t xml:space="preserve"> </w:t>
      </w:r>
    </w:p>
    <w:p w:rsidR="00530706" w:rsidRDefault="00817B4F">
      <w:pPr>
        <w:ind w:firstLine="560"/>
        <w:jc w:val="both"/>
        <w:rPr>
          <w:color w:val="000000"/>
        </w:rPr>
      </w:pPr>
      <w:r>
        <w:rPr>
          <w:rFonts w:ascii="Calibri" w:eastAsia="Calibri" w:hAnsi="Calibri" w:cs="Calibri"/>
          <w:b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Показатели кредиторской задолженности ф. 0503169 (гр.9) по состоянию на отчетную дату не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соответствовуют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показателям, отраженным в ф. 0503128 в качестве неисполненных денежных обязательств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(табл.1 гр. 12 ф. 0503128)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4 025 775,77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данная задол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женность отражена в табл.2 ф. 0503128), в том числе:. </w:t>
      </w:r>
    </w:p>
    <w:p w:rsidR="00530706" w:rsidRDefault="00817B4F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администратору 802: 36005,40 руб.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идравличое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испытание системы отопления, перерасход подотчета :</w:t>
      </w:r>
    </w:p>
    <w:p w:rsidR="00530706" w:rsidRDefault="00817B4F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администратру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803: 3 986 570,37 руб. - задолженность по договорам за продукты питания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бслуживане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пожарных установок.</w:t>
      </w:r>
    </w:p>
    <w:p w:rsidR="00530706" w:rsidRDefault="00817B4F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данным договорам по состоянию на 01.10.2023г. отсутствуют лимиты, бюджетные и денежные обязательства приняты под лимиты 2024 года.</w:t>
      </w:r>
    </w:p>
    <w:p w:rsidR="00530706" w:rsidRDefault="00817B4F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ф.0503169 БД</w:t>
      </w:r>
    </w:p>
    <w:p w:rsidR="00530706" w:rsidRDefault="00817B4F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30706" w:rsidRDefault="00817B4F">
      <w:pPr>
        <w:ind w:firstLine="720"/>
        <w:jc w:val="both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FEFFF"/>
        </w:rPr>
        <w:t>Дебитовый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FEFFF"/>
        </w:rPr>
        <w:t xml:space="preserve"> остаток на счете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EFEFFF"/>
        </w:rPr>
        <w:t>303.12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FEFFF"/>
        </w:rPr>
        <w:t xml:space="preserve">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EFEFFF"/>
        </w:rPr>
        <w:t>4998,0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FEFFF"/>
        </w:rPr>
        <w:t xml:space="preserve"> руб. - еще не урегулиров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FEFFF"/>
        </w:rPr>
        <w:t xml:space="preserve">анная с ИФНС переплата по налогу на имущество за 2022г. в Отделе культуры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FE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FEFFF"/>
        </w:rPr>
        <w:t xml:space="preserve"> района (Глава 956), т.к. муниципальный район находится в стадии реорганизации в муниципальный округ.</w:t>
      </w:r>
    </w:p>
    <w:p w:rsidR="00530706" w:rsidRDefault="00817B4F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состоянию на 01.10.2023 года  задолженность по аре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ндной плате за  земельные участки в консолидированный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Курганской области составила 28395,7 тыс. руб. в том числе 309,6  тыс. руб. просроченная:</w:t>
      </w:r>
    </w:p>
    <w:p w:rsidR="00530706" w:rsidRDefault="00817B4F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- 30,2  тыс. руб. находится на взыскании у Службы судебных приставов (ИП Потапов 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с.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Дубровное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ИП № 17973/16/45028 дата возникновения  апрель  2014г.)</w:t>
      </w:r>
    </w:p>
    <w:p w:rsidR="00530706" w:rsidRDefault="00817B4F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-279,4 тыс. руб. должник признан банкротом. Определением  Арбитражного суда  сумма задолженности  включена в реестр требований кредиторов должника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ИП Аристов А.А.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дата возникновения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октябрь 2014г.)</w:t>
      </w:r>
    </w:p>
    <w:p w:rsidR="00530706" w:rsidRDefault="00817B4F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Задолженность по арендной плате за имущество составила 3868,4 тыс. рублей.</w:t>
      </w:r>
    </w:p>
    <w:p w:rsidR="00530706" w:rsidRDefault="00817B4F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Задолженность по административным штрафам составила 2384,4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просроченная 580,4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.- штрафы УМВД (дата возникновения декабрь 2019г.)</w:t>
      </w:r>
    </w:p>
    <w:p w:rsidR="00530706" w:rsidRDefault="00817B4F">
      <w:pPr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счету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1.209.41.000 выставлены требования за несоблюдение условий контракта на сумму 1355,2 тыс. руб.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ачислен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штраф ИП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Закоян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Г.Р. за просрочку по контракту 3,64 тыс. руб.; начислен штраф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ООО"Эльбрус"за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просрочку по контракту 1314,21 тыс. руб.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коду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808 11100000000000000000 1.210.05.004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отражен договор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безвозмезного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пользования с АО "Газпром газораспределение Курган".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По коду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10015930011460323 на счетах 1.303.14.001, 1.303.15.001 и 1.304.03.007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отражены перечисление НДФЛ,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страх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зносов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удержаний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ен.вознаграждения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договорам ГПХ об осуществлении опеки и попечительства.</w:t>
      </w:r>
    </w:p>
    <w:p w:rsidR="00530706" w:rsidRDefault="00817B4F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  </w:t>
      </w:r>
    </w:p>
    <w:p w:rsidR="00530706" w:rsidRDefault="00817B4F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ф.0503169 БК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Кредиторская задолженность по доходам на 01.10.2023г. составила 5866520,75руб.: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счету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205.21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составила 19806,06 руб.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счету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205.23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составила 9963,3 руб.,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75,69 руб. переплата ООО ХПП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Мостовское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долг на 01.01.2023г. 1489,89, в марте заплатили 3131,10, ежемесячная арендная плата 260,93); 17,04 руб. - невостребованная переплата по закрытому в декабре 2022г. договору аренды земли с физическим лицом, 987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0,57-.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счету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205.29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составила 1953,38 руб.,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.: 1565,37 рублей (расчеты по договорам социального найма муниципального жилищного фонда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поссовета с физлицами, переплата); 388,01 руб. переплата за размещение нестационарного торгового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ъекта ИП Быков Д.Д. и ИП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Волосников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переплата на 01.01.2023г. - 1028,65 руб.)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счету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205.31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сумме 2065189,37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питание детей в садах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школах.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Кредиторская задолженность по расходам на 01.10.2023г. составила 34106358,64 руб.: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счету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208.00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9776,48 подотчет;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счету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302.00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- 24454892,37,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 по сч.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302.11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заработная плата за сентябрь - 13207308,41руб.; сч.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302.25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-4247941,33 рублей (текущая задолженность за ремонт дорог "ДРСП"-2350,85 тыс. руб. и задолженность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О"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Техучасток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"(ремонт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ДЮЦ)-1541,30 тыс. руб.);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302.34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6886249,41руб. продукты питания.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счету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303.00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- 9439802,03 начисления на заработную плату за сентябрь;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счету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304.00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- 201887,76 - удержания из заработной платы;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ф.503373  т.1гр.9(код причины 06)  в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410 и 520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сумму 21995,38 руб. отражена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рекласисификация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исходящих остатков по счетам учета 302.24 по арендной плате за пользование имуществом в объеме остаточной стоимости объектов учета аренды на 1 января 2023г.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соответствующий счет 401.60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остальных строках отражены суммы ИФНС в связи с переносом дебиторской и кредиторской задолженности с подвида доходов 2100 и 2200 на КБК 18211617000010000140 с элементом бюджета 01.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30706" w:rsidRDefault="00817B4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lastRenderedPageBreak/>
        <w:t>Раздел 5 "Прочие вопросы деятельност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и субъекта бюджетной отчетности"</w:t>
      </w:r>
    </w:p>
    <w:p w:rsidR="00530706" w:rsidRDefault="00817B4F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30706" w:rsidRDefault="00817B4F">
      <w:pPr>
        <w:ind w:firstLine="700"/>
        <w:rPr>
          <w:color w:val="000000"/>
        </w:rPr>
      </w:pP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lastRenderedPageBreak/>
        <w:br/>
      </w:r>
    </w:p>
    <w:p w:rsidR="00530706" w:rsidRDefault="00817B4F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530706" w:rsidRDefault="00530706"/>
    <w:p w:rsidR="00530706" w:rsidRDefault="00817B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30706" w:rsidRDefault="00817B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30706" w:rsidRDefault="00817B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960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4608"/>
        <w:gridCol w:w="3114"/>
      </w:tblGrid>
      <w:tr w:rsidR="00530706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706" w:rsidRDefault="00817B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706" w:rsidRDefault="00817B4F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u w:val="single"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706" w:rsidRDefault="00817B4F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Славина Оксана Александровна</w:t>
            </w:r>
          </w:p>
        </w:tc>
      </w:tr>
      <w:tr w:rsidR="00530706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0706" w:rsidRDefault="00530706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706" w:rsidRDefault="00817B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706" w:rsidRDefault="00817B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530706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0706" w:rsidRDefault="00817B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30706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706" w:rsidRDefault="00817B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706" w:rsidRDefault="00530706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706" w:rsidRDefault="00530706">
            <w:pPr>
              <w:rPr>
                <w:sz w:val="24"/>
              </w:rPr>
            </w:pPr>
          </w:p>
        </w:tc>
      </w:tr>
      <w:tr w:rsidR="00530706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706" w:rsidRDefault="00817B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706" w:rsidRDefault="00817B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706" w:rsidRDefault="00817B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530706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0706" w:rsidRDefault="00530706">
            <w:pPr>
              <w:rPr>
                <w:sz w:val="24"/>
              </w:rPr>
            </w:pPr>
          </w:p>
        </w:tc>
      </w:tr>
      <w:tr w:rsidR="00530706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706" w:rsidRDefault="00817B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706" w:rsidRDefault="00817B4F">
            <w:pPr>
              <w:ind w:left="-139" w:right="-288" w:firstLine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u w:val="single"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0706" w:rsidRDefault="00817B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Павлова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Евгения Николаевна</w:t>
            </w:r>
          </w:p>
        </w:tc>
      </w:tr>
      <w:tr w:rsidR="00530706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706" w:rsidRDefault="00817B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706" w:rsidRDefault="00817B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706" w:rsidRDefault="00817B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530706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706" w:rsidRDefault="00817B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706" w:rsidRDefault="00530706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706" w:rsidRDefault="00530706">
            <w:pPr>
              <w:rPr>
                <w:sz w:val="24"/>
              </w:rPr>
            </w:pPr>
          </w:p>
        </w:tc>
      </w:tr>
    </w:tbl>
    <w:p w:rsidR="00530706" w:rsidRDefault="00817B4F">
      <w:r>
        <w:rPr>
          <w:rFonts w:ascii="Times New Roman" w:eastAsia="Times New Roman" w:hAnsi="Times New Roman" w:cs="Times New Roman"/>
          <w:sz w:val="24"/>
          <w:szCs w:val="24"/>
        </w:rPr>
        <w:t>Документ подписан электронной подписью. Дата представления 17.10.2023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Главный бухгалте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ПАВЛОВА ЕВГЕНИЯ НИКОЛАЕВНА, Сертификат: 00E7FA78EAB66F4BB6D0EF7540D6B03215, Действителен: с 19.09.2023 по 12.12.2024),Руководитель(СЛАВИНА ОКСАНА АЛЕКСАНДРОВНА, Сертификат: 48F3779BCF669AD1CCB7877556D40209, Действителен: с 01.08.2023 по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4.10.2024)        </w:t>
      </w:r>
    </w:p>
    <w:sectPr w:rsidR="00530706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30706"/>
    <w:rsid w:val="00530706"/>
    <w:rsid w:val="0081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1482</Words>
  <Characters>8449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raifo450315</dc:creator>
  <cp:lastModifiedBy>raifo450315</cp:lastModifiedBy>
  <cp:revision>2</cp:revision>
  <dcterms:created xsi:type="dcterms:W3CDTF">2024-03-20T21:20:00Z</dcterms:created>
  <dcterms:modified xsi:type="dcterms:W3CDTF">2024-03-20T21:20:00Z</dcterms:modified>
</cp:coreProperties>
</file>