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38D" w:rsidRDefault="004C267A">
      <w:pPr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660" w:type="dxa"/>
        <w:tblInd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1"/>
        <w:gridCol w:w="3261"/>
        <w:gridCol w:w="2128"/>
        <w:gridCol w:w="1560"/>
      </w:tblGrid>
      <w:tr w:rsidR="0085738D">
        <w:trPr>
          <w:trHeight w:val="273"/>
        </w:trPr>
        <w:tc>
          <w:tcPr>
            <w:tcW w:w="9654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738D" w:rsidRDefault="004C267A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Утв. приказом Минфина РФ</w:t>
            </w:r>
          </w:p>
          <w:p w:rsidR="0085738D" w:rsidRDefault="004C267A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28 декабря 2010 г. № 191н</w:t>
            </w:r>
          </w:p>
          <w:p w:rsidR="0085738D" w:rsidRDefault="004C267A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(в ред. от 2 ноября 2017 г.)</w:t>
            </w:r>
          </w:p>
        </w:tc>
      </w:tr>
      <w:tr w:rsidR="0085738D">
        <w:trPr>
          <w:trHeight w:val="273"/>
        </w:trPr>
        <w:tc>
          <w:tcPr>
            <w:tcW w:w="9654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738D" w:rsidRDefault="004C267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                                           </w:t>
            </w:r>
          </w:p>
          <w:p w:rsidR="0085738D" w:rsidRDefault="004C267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85738D" w:rsidRDefault="004C267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ПОЯСНИТЕЛЬНАЯ ЗАПИСКА</w:t>
            </w:r>
          </w:p>
        </w:tc>
      </w:tr>
      <w:tr w:rsidR="0085738D">
        <w:trPr>
          <w:trHeight w:val="337"/>
        </w:trPr>
        <w:tc>
          <w:tcPr>
            <w:tcW w:w="80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738D" w:rsidRDefault="004C267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                     к отчету об исполнении консолидированного бюджета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738D" w:rsidRDefault="004C267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85738D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738D" w:rsidRDefault="004C267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5738D" w:rsidRDefault="004C267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738D" w:rsidRDefault="004C267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738D" w:rsidRDefault="004C267A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Форма по ОКУД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738D" w:rsidRDefault="004C267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0503360</w:t>
            </w:r>
          </w:p>
        </w:tc>
      </w:tr>
      <w:tr w:rsidR="0085738D">
        <w:trPr>
          <w:trHeight w:val="273"/>
        </w:trPr>
        <w:tc>
          <w:tcPr>
            <w:tcW w:w="596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738D" w:rsidRDefault="004C267A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ноября 2023 г.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738D" w:rsidRDefault="004C267A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Дата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738D" w:rsidRDefault="004C267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01.11.2023</w:t>
            </w:r>
          </w:p>
        </w:tc>
      </w:tr>
      <w:tr w:rsidR="0085738D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738D" w:rsidRDefault="004C267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финансового органа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738D" w:rsidRDefault="004C267A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Варгашинский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738D" w:rsidRDefault="004C267A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738D" w:rsidRDefault="004C267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02287916</w:t>
            </w:r>
          </w:p>
        </w:tc>
      </w:tr>
      <w:tr w:rsidR="0085738D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738D" w:rsidRDefault="004C267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738D" w:rsidRDefault="004C267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738D" w:rsidRDefault="004C267A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по БК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738D" w:rsidRDefault="004C267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85738D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738D" w:rsidRDefault="004C267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738D" w:rsidRDefault="004C267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Бюджеты районов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738D" w:rsidRDefault="004C267A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по ОКТМО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738D" w:rsidRDefault="004C267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37606000</w:t>
            </w:r>
          </w:p>
        </w:tc>
      </w:tr>
      <w:tr w:rsidR="0085738D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738D" w:rsidRDefault="004C267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Периодичность: 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738D" w:rsidRDefault="004C267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месячная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738D" w:rsidRDefault="004C267A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738D" w:rsidRDefault="004C267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38D">
        <w:trPr>
          <w:trHeight w:val="356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738D" w:rsidRDefault="004C267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измерения: 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738D" w:rsidRDefault="004C267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738D" w:rsidRDefault="004C267A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ОКЕИ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738D" w:rsidRDefault="004C267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85738D" w:rsidRDefault="004C267A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5738D" w:rsidRDefault="004C267A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5738D" w:rsidRDefault="004C267A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5738D" w:rsidRDefault="004C267A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Раздел 3 «Анализ отчета об исполнении бюджета субъектом бюджетной отчетности»</w:t>
      </w:r>
    </w:p>
    <w:p w:rsidR="0085738D" w:rsidRDefault="004C267A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</w:p>
    <w:p w:rsidR="0085738D" w:rsidRDefault="004C267A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отчетный период в консолидированный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поступили доходы в сумме  693466,8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при годовых назначениях 879137,9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 78,9 % </w:t>
      </w:r>
    </w:p>
    <w:p w:rsidR="0085738D" w:rsidRDefault="004C267A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5738D" w:rsidRDefault="004C267A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межбюджетные трансферты из областного бюджета составили 549267,7 тыс. руб. или 76,4 %  от годовых назначений (719329,9 тыс. руб.); </w:t>
      </w:r>
    </w:p>
    <w:p w:rsidR="0085738D" w:rsidRDefault="004C267A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собственные доходы составили 144590,2 тыс. руб. или  90,5 % от годовых назначений (159808,0 тыс. руб.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  </w:t>
      </w:r>
    </w:p>
    <w:p w:rsidR="0085738D" w:rsidRDefault="004C267A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Доходы муниципального района составили 668448,5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или 78,5 % от годовых назначений (851290,9 тыс. руб.)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 </w:t>
      </w:r>
    </w:p>
    <w:p w:rsidR="0085738D" w:rsidRDefault="004C267A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межбюджетные трансферты из областного бюджета 549267,7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или   76,4 % от годовых назначений (719329,9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.);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-собствен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доходы составили  99019,2 тыс. руб. или 88,6 % от годового плана 111796,0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-   получено из бюджетов поселений межбюджетных трансфертов по передаче полномочий в сумме  20165,0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     Доходы, полученные из областного бюджета по коду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доходов бюджетной классификации 00020200000000000000, сверены с Управлением Федерального казначейства по Курганской области. </w:t>
      </w:r>
    </w:p>
    <w:p w:rsidR="0085738D" w:rsidRDefault="004C267A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 В доходную часть бюджетов поселений  обеспечено поступление в сумме 154606,6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или 79,1 % к годовым назначениям (1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95464,9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.)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.: </w:t>
      </w:r>
    </w:p>
    <w:p w:rsidR="0085738D" w:rsidRDefault="004C267A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межбюджетные трансферты 109423,3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или 74,2 % от назначений на год (147452,9 тыс. руб.);</w:t>
      </w:r>
    </w:p>
    <w:p w:rsidR="0085738D" w:rsidRDefault="004C267A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-собственные доходы  45571,0 тыс. руб. или 94,9 % от годовых назначений (48012,0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.);      </w:t>
      </w:r>
    </w:p>
    <w:p w:rsidR="0085738D" w:rsidRDefault="004C267A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5738D" w:rsidRDefault="004C267A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расходной части отклонений с отчетностью Управления Федерального казначейства по Курганской области не установлено. </w:t>
      </w:r>
    </w:p>
    <w:p w:rsidR="0085738D" w:rsidRDefault="004C267A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Расходы консолидированного бюджета района за отчетный период составили 645146,9 тыс. руб., что составило 72,1 % от годовых назначени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(894301,0 тыс. руб.). </w:t>
      </w:r>
    </w:p>
    <w:p w:rsidR="0085738D" w:rsidRDefault="004C267A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Расходы бюджета муниципального района составили 621333,9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уб.или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72,3 % от годовых назначений (859003,1 тыс. руб.),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</w:p>
    <w:p w:rsidR="0085738D" w:rsidRDefault="004C267A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-перечислены межбюджетные трансферты  бюджетам поселений 109423,3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5738D" w:rsidRDefault="004C267A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Расходы бюджетов поселений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составили  153401,3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., что составило 73,1 % от годовых назначений (202915,9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.),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</w:p>
    <w:p w:rsidR="0085738D" w:rsidRDefault="004C267A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-перечислены иные межбюджетные трансферты бюджету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 20165,0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5738D" w:rsidRDefault="004C267A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85738D" w:rsidRDefault="004C267A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Остатки средств консолидированного бюджета района по состоянию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01.11.2023 года составили 64168,6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уб.в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по бюджету района 55215,7 тыс. руб., по бюджетам поселений 8952,9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 </w:t>
      </w:r>
    </w:p>
    <w:p w:rsidR="0085738D" w:rsidRDefault="004C267A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85738D" w:rsidRDefault="004C267A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   В январе 2023 года возвращены в областной бюджет остатки прошлого года в сумме 292555,2 рублей  -  субсидия на обеспе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чение мероприятий по переселению граждан из аварийного жилищного фонда (заявка на возврат № 1 от 19.01.2023 года).</w:t>
      </w:r>
    </w:p>
    <w:p w:rsidR="0085738D" w:rsidRDefault="004C267A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5738D" w:rsidRDefault="004C267A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</w:t>
      </w:r>
      <w:bookmarkStart w:id="1" w:name="_dx_frag_StartFragment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Просроченная кредиторская задолженность по состоянию на 01.11.2023 года составила 0,0 руб.</w:t>
      </w:r>
    </w:p>
    <w:p w:rsidR="0085738D" w:rsidRDefault="004C267A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bookmarkStart w:id="2" w:name="16RU1346566"/>
      <w:bookmarkEnd w:id="2"/>
    </w:p>
    <w:p w:rsidR="0085738D" w:rsidRDefault="004C267A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5738D" w:rsidRDefault="004C267A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 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Раздел 4 "Анализ показателей бухг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алтерской отчетности субъекта бюджетной отчетности"</w:t>
      </w:r>
    </w:p>
    <w:p w:rsidR="0085738D" w:rsidRDefault="004C267A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 </w:t>
      </w:r>
    </w:p>
    <w:p w:rsidR="0085738D" w:rsidRDefault="004C267A">
      <w:pPr>
        <w:ind w:firstLine="700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  </w:t>
      </w:r>
      <w:bookmarkStart w:id="3" w:name="2RU1339388"/>
      <w:r>
        <w:rPr>
          <w:rFonts w:ascii="Calibri" w:eastAsia="Calibri" w:hAnsi="Calibri" w:cs="Calibri"/>
          <w:b/>
          <w:color w:val="000000"/>
        </w:rPr>
        <w:t>правило №П</w:t>
      </w:r>
      <w:proofErr w:type="gramStart"/>
      <w:r>
        <w:rPr>
          <w:rFonts w:ascii="Calibri" w:eastAsia="Calibri" w:hAnsi="Calibri" w:cs="Calibri"/>
          <w:b/>
          <w:color w:val="000000"/>
        </w:rPr>
        <w:t>1</w:t>
      </w:r>
      <w:bookmarkEnd w:id="3"/>
      <w:proofErr w:type="gramEnd"/>
      <w:r>
        <w:rPr>
          <w:rFonts w:ascii="Calibri" w:eastAsia="Calibri" w:hAnsi="Calibri" w:cs="Calibri"/>
          <w:color w:val="000000"/>
        </w:rPr>
        <w:br/>
      </w:r>
      <w:r>
        <w:rPr>
          <w:rFonts w:ascii="Calibri" w:eastAsia="Calibri" w:hAnsi="Calibri" w:cs="Calibri"/>
          <w:color w:val="000000"/>
        </w:rPr>
        <w:t>0503117M_НП т1 гр4 = 0503117M_НП т1 гр4 [-1м]</w:t>
      </w:r>
      <w:r>
        <w:rPr>
          <w:rFonts w:ascii="Calibri" w:eastAsia="Calibri" w:hAnsi="Calibri" w:cs="Calibri"/>
          <w:color w:val="000000"/>
        </w:rPr>
        <w:br/>
      </w:r>
      <w:bookmarkStart w:id="4" w:name="_dx_frag_EndFragment"/>
      <w:bookmarkEnd w:id="4"/>
      <w:r>
        <w:rPr>
          <w:rFonts w:ascii="Calibri" w:eastAsia="Calibri" w:hAnsi="Calibri" w:cs="Calibri"/>
          <w:color w:val="000000"/>
        </w:rPr>
        <w:t>0503128M_НП т1 гр4 = 0503128M_НП т1 гр4 [-1м]</w:t>
      </w:r>
    </w:p>
    <w:p w:rsidR="0085738D" w:rsidRDefault="004C267A">
      <w:pPr>
        <w:ind w:firstLine="700"/>
        <w:rPr>
          <w:color w:val="000000"/>
        </w:rPr>
      </w:pPr>
      <w:r>
        <w:rPr>
          <w:rFonts w:ascii="Calibri" w:eastAsia="Calibri" w:hAnsi="Calibri" w:cs="Calibri"/>
          <w:color w:val="000000"/>
          <w:sz w:val="28"/>
        </w:rPr>
        <w:br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ф. 0503117М_НП и ф.0503128м_НП в октябре 2023 года по сравнению с предыдущим периодом по ОКТМ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37606151 увеличены бюджетные назначения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КБК 0503110F2Д5550244 на сумму 33,22 рублей на основании Постановления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Курганской области от 30 октября 2022 года № 76-р «О внесении изменений в бюджетную роспис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расходов бюджета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поссовета на 2023 год».</w:t>
      </w:r>
      <w:proofErr w:type="gramEnd"/>
    </w:p>
    <w:p w:rsidR="0085738D" w:rsidRDefault="004C267A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Дополнительные средства предусмотрены свыше заключенного соглашения с Департаментом строительства,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госэкспертизы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жилищно-коммунального хозяйства Курганской области от 20.01.2023г. № 37606000-1-2023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2-004 на реализацию программы формирования современной городской среды (недостающая сумма по договору). </w:t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  <w:szCs w:val="28"/>
        </w:rPr>
        <w:t>          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основании Дополнительного соглашения</w:t>
      </w:r>
      <w:r>
        <w:rPr>
          <w:rFonts w:ascii="Calibri" w:eastAsia="Calibri" w:hAnsi="Calibri" w:cs="Calibri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37606000-1-2023-004/1 от 20.10.2023г. с Департаментом строительства,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госэкспертизы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жилищно-коммунального хозяйства Курганской области доведены лимиты на 2024г. по ОКТМО 37606000 и 37606151 в сумме 6 000 000,00 рублей.</w:t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ф.503373  т.1гр.9(код причины 06)  в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стр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410 и 520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сумму 21995,38 руб. отражена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рекласисификация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исходящих остатков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счетам учета 302.24 по арендной плате за пользование имуществом в объеме остаточной стоимости объектов учета аренды на 1 января 2023г. на соответствующий счет 401.60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</w:t>
      </w:r>
    </w:p>
    <w:p w:rsidR="0085738D" w:rsidRDefault="004C267A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остальных строках (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250,470,510,560,570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отражены суммы ИФНС в связи с переносом деб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иторской и кредиторской задолженности с подвида доходов 2100 и 2200 на КБК 18211617000010000140 с элементом бюджета 01.</w:t>
      </w:r>
    </w:p>
    <w:p w:rsidR="0085738D" w:rsidRDefault="004C267A">
      <w:pPr>
        <w:ind w:firstLine="1580"/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lastRenderedPageBreak/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</w:p>
    <w:p w:rsidR="0085738D" w:rsidRDefault="004C267A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85738D" w:rsidRDefault="0085738D"/>
    <w:p w:rsidR="0085738D" w:rsidRDefault="004C267A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5738D" w:rsidRDefault="004C267A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5738D" w:rsidRDefault="004C267A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960" w:type="dxa"/>
        <w:tblInd w:w="-34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4608"/>
        <w:gridCol w:w="3114"/>
      </w:tblGrid>
      <w:tr w:rsidR="0085738D"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738D" w:rsidRDefault="004C267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42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738D" w:rsidRDefault="004C267A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u w:val="single"/>
              </w:rPr>
              <w:drawing>
                <wp:inline distT="0" distB="0" distL="0" distR="0">
                  <wp:extent cx="2857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738D" w:rsidRDefault="004C267A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Славина Оксана Александровна</w:t>
            </w:r>
          </w:p>
        </w:tc>
      </w:tr>
      <w:tr w:rsidR="0085738D">
        <w:trPr>
          <w:trHeight w:val="280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5738D" w:rsidRDefault="0085738D">
            <w:pPr>
              <w:rPr>
                <w:sz w:val="24"/>
              </w:rPr>
            </w:pP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738D" w:rsidRDefault="004C267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738D" w:rsidRDefault="004C267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85738D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5738D" w:rsidRDefault="004C267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5738D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738D" w:rsidRDefault="004C267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планово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738D" w:rsidRDefault="0085738D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738D" w:rsidRDefault="0085738D">
            <w:pPr>
              <w:rPr>
                <w:sz w:val="24"/>
              </w:rPr>
            </w:pPr>
          </w:p>
        </w:tc>
      </w:tr>
      <w:tr w:rsidR="0085738D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738D" w:rsidRDefault="004C267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экономической службы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738D" w:rsidRDefault="004C267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738D" w:rsidRDefault="004C267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85738D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5738D" w:rsidRDefault="0085738D">
            <w:pPr>
              <w:rPr>
                <w:sz w:val="24"/>
              </w:rPr>
            </w:pPr>
          </w:p>
        </w:tc>
      </w:tr>
      <w:tr w:rsidR="0085738D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738D" w:rsidRDefault="004C267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Главный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738D" w:rsidRDefault="004C267A">
            <w:pPr>
              <w:ind w:left="-139" w:right="-288" w:firstLine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u w:val="single"/>
              </w:rPr>
              <w:drawing>
                <wp:inline distT="0" distB="0" distL="0" distR="0">
                  <wp:extent cx="2857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5738D" w:rsidRDefault="004C267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Павлова Евгения Николаевна</w:t>
            </w:r>
          </w:p>
        </w:tc>
      </w:tr>
      <w:tr w:rsidR="0085738D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738D" w:rsidRDefault="004C267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738D" w:rsidRDefault="004C267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738D" w:rsidRDefault="004C267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85738D">
        <w:trPr>
          <w:trHeight w:val="449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738D" w:rsidRDefault="004C267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«____»______20____г.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738D" w:rsidRDefault="0085738D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738D" w:rsidRDefault="0085738D">
            <w:pPr>
              <w:rPr>
                <w:sz w:val="24"/>
              </w:rPr>
            </w:pPr>
          </w:p>
        </w:tc>
      </w:tr>
    </w:tbl>
    <w:p w:rsidR="0085738D" w:rsidRDefault="004C267A">
      <w:r>
        <w:rPr>
          <w:rFonts w:ascii="Times New Roman" w:eastAsia="Times New Roman" w:hAnsi="Times New Roman" w:cs="Times New Roman"/>
          <w:sz w:val="24"/>
          <w:szCs w:val="24"/>
        </w:rPr>
        <w:t>Документ подписан электронной подписью. Дата представления 03.11.2023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Главный бухгалте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ПАВЛОВА ЕВГЕНИЯ НИКОЛАЕВНА, Сертификат: 00E7FA78EAB66F4BB6D0EF7540D6B03215, Действителен: с 19.09.2023 по 12.12.2024),Руководитель(СЛАВИНА ОКСАНА АЛЕКСАНДРОВНА, Сертификат: 48F3779BCF669AD1CCB7877556D40209, Действителен: с 01.08.2023 по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4.10.2024)        </w:t>
      </w:r>
    </w:p>
    <w:sectPr w:rsidR="0085738D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5738D"/>
    <w:rsid w:val="004C267A"/>
    <w:rsid w:val="0085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raifo450315</dc:creator>
  <cp:lastModifiedBy>raifo450315</cp:lastModifiedBy>
  <cp:revision>2</cp:revision>
  <dcterms:created xsi:type="dcterms:W3CDTF">2024-03-20T19:56:00Z</dcterms:created>
  <dcterms:modified xsi:type="dcterms:W3CDTF">2024-03-20T19:56:00Z</dcterms:modified>
</cp:coreProperties>
</file>